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2F3F" w14:textId="77777777" w:rsidR="0096028D" w:rsidRPr="0096028D" w:rsidRDefault="0096028D" w:rsidP="0096028D">
      <w:pPr>
        <w:pStyle w:val="Intestazione"/>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PUBBLICHE AMMINISTRAZIONI</w:t>
      </w:r>
      <w:r>
        <w:rPr>
          <w:rFonts w:asciiTheme="majorHAnsi" w:eastAsiaTheme="majorEastAsia" w:hAnsiTheme="majorHAnsi" w:cstheme="majorBidi"/>
          <w:sz w:val="32"/>
          <w:szCs w:val="32"/>
          <w:vertAlign w:val="superscript"/>
        </w:rPr>
        <w:footnoteReference w:id="1"/>
      </w:r>
    </w:p>
    <w:p w14:paraId="7D4CC6C0" w14:textId="77777777" w:rsidR="003A3014" w:rsidRDefault="003A3014" w:rsidP="00C0653D">
      <w:pPr>
        <w:spacing w:line="360" w:lineRule="auto"/>
        <w:jc w:val="both"/>
        <w:rPr>
          <w:rFonts w:ascii="Garamond" w:hAnsi="Garamond" w:cs="Times New Roman"/>
          <w:sz w:val="24"/>
          <w:szCs w:val="24"/>
        </w:rPr>
      </w:pPr>
    </w:p>
    <w:p w14:paraId="0571C02B" w14:textId="7BF88E90" w:rsidR="00113CB0" w:rsidRDefault="00C0653D" w:rsidP="002D61F7">
      <w:pPr>
        <w:jc w:val="both"/>
        <w:rPr>
          <w:rFonts w:ascii="Titillium" w:hAnsi="Titillium" w:cs="Titillium Web"/>
          <w:sz w:val="20"/>
          <w:szCs w:val="20"/>
        </w:rPr>
      </w:pPr>
      <w:r>
        <w:rPr>
          <w:rFonts w:ascii="Titillium" w:hAnsi="Titillium" w:cs="Titillium Web"/>
          <w:sz w:val="20"/>
          <w:szCs w:val="20"/>
        </w:rPr>
        <w:t>Il sottoscritto Federico Rizzo, con riferimento all’incarico di Dirigente scolastico presso l’Istituto Comprensivo «E. De Amicis» di Busto Arsizio (VA), codice meccanografico VAIC85900R, conferito dal Direttore generale dell’Ufficio Scolastico Regionale per la Lombardia con decreto prot. n. 1667 del 26/08/2026 per il periodo dal 01/09/2026 al 31/08/2029,</w:t>
      </w:r>
      <w:r>
        <w:rPr>
          <w:sz w:val="20"/>
        </w:rPr>
        <w:t xml:space="preserve"> </w:t>
      </w:r>
      <w:r>
        <w:rPr>
          <w:rFonts w:ascii="Titillium" w:hAnsi="Titillium" w:cs="Titillium Web"/>
          <w:sz w:val="20"/>
          <w:szCs w:val="20"/>
        </w:rPr>
        <w:t xml:space="preserve">ai sensi delle disposizioni di cui agli articoli 46 e 47 del D.P.R. 28 dicembre 2000, n. 445 “Testo unico delle disposizioni legislative e regolamentari in materia di documentazione amministrativa”, nonché ai sensi dell’art. 20 del d.lgs. n. 39 dell’08.04.2013, consapevole delle responsabilità penali in caso di dichiarazioni mendaci, falsità in atti e uso di atti falsi, di cui agli articoli 75 e 76 del citato D.P.R. n. 445/2000, nonché delle sanzioni di cui all’art. 20, comma 5, del d.lgs. n. 39 dell’08.04.2013 </w:t>
      </w:r>
    </w:p>
    <w:p w14:paraId="77E5F461" w14:textId="180F7B28" w:rsidR="00A76C67" w:rsidRDefault="00C0653D" w:rsidP="002D61F7">
      <w:pPr>
        <w:spacing w:line="360" w:lineRule="auto"/>
        <w:jc w:val="center"/>
        <w:rPr>
          <w:rFonts w:ascii="Titillium" w:hAnsi="Titillium" w:cs="Titillium Web"/>
          <w:sz w:val="20"/>
          <w:szCs w:val="20"/>
        </w:rPr>
      </w:pPr>
      <w:r>
        <w:rPr>
          <w:rFonts w:ascii="Titillium" w:hAnsi="Titillium" w:cs="Titillium Web"/>
          <w:b/>
          <w:bCs/>
          <w:sz w:val="20"/>
          <w:szCs w:val="20"/>
        </w:rPr>
        <w:t>DICHIARA</w:t>
      </w:r>
      <w:r>
        <w:rPr>
          <w:rFonts w:ascii="Titillium" w:hAnsi="Titillium" w:cs="Titillium Web"/>
          <w:sz w:val="20"/>
          <w:szCs w:val="20"/>
          <w:vertAlign w:val="superscript"/>
        </w:rPr>
        <w:footnoteReference w:id="2"/>
      </w:r>
    </w:p>
    <w:p w14:paraId="5A63DED3" w14:textId="0B7DFEA8" w:rsidR="005B5DDF" w:rsidRDefault="00170C1F" w:rsidP="002D61F7">
      <w:pPr>
        <w:tabs>
          <w:tab w:val="left" w:pos="142"/>
        </w:tabs>
        <w:spacing w:line="360" w:lineRule="auto"/>
        <w:jc w:val="both"/>
        <w:rPr>
          <w:rFonts w:ascii="Titillium" w:hAnsi="Titillium" w:cs="Titillium Web"/>
          <w:sz w:val="20"/>
          <w:szCs w:val="20"/>
        </w:rPr>
      </w:pPr>
      <w:r>
        <w:rPr>
          <w:rFonts w:ascii="Titillium" w:hAnsi="Titillium" w:cs="Titillium Web"/>
          <w:sz w:val="20"/>
          <w:szCs w:val="20"/>
        </w:rPr>
        <w:t>l’</w:t>
      </w:r>
      <w:r>
        <w:rPr>
          <w:rFonts w:ascii="Titillium" w:hAnsi="Titillium" w:cs="Titillium Web"/>
          <w:b/>
          <w:bCs/>
          <w:sz w:val="20"/>
          <w:szCs w:val="20"/>
        </w:rPr>
        <w:t>insussistenza</w:t>
      </w:r>
      <w:r>
        <w:rPr>
          <w:rFonts w:ascii="Titillium" w:hAnsi="Titillium" w:cs="Titillium Web"/>
          <w:sz w:val="20"/>
          <w:szCs w:val="20"/>
        </w:rPr>
        <w:t xml:space="preserve"> delle seguenti situazioni di </w:t>
      </w:r>
      <w:r>
        <w:rPr>
          <w:rFonts w:ascii="Titillium" w:hAnsi="Titillium" w:cs="Titillium Web"/>
          <w:b/>
          <w:sz w:val="20"/>
          <w:szCs w:val="20"/>
        </w:rPr>
        <w:t>INCOMPATIBILITA’</w:t>
      </w:r>
      <w:r>
        <w:rPr>
          <w:rFonts w:ascii="Titillium" w:hAnsi="Titillium" w:cs="Titillium Web"/>
          <w:sz w:val="20"/>
          <w:szCs w:val="20"/>
        </w:rPr>
        <w:t xml:space="preserve"> disciplinate dal d.lgs. n. 39/2013 in ragione della tipologia di incarico assunto:</w:t>
      </w:r>
    </w:p>
    <w:p w14:paraId="3A8E7EFF" w14:textId="1782C715" w:rsidR="002D61F7" w:rsidRPr="00FA0C50" w:rsidRDefault="00170C1F" w:rsidP="00DB0AC8">
      <w:pPr>
        <w:pStyle w:val="Paragrafoelenco"/>
        <w:numPr>
          <w:ilvl w:val="0"/>
          <w:numId w:val="37"/>
        </w:numPr>
        <w:tabs>
          <w:tab w:val="left" w:pos="142"/>
        </w:tabs>
        <w:spacing w:line="360" w:lineRule="auto"/>
        <w:jc w:val="both"/>
        <w:rPr>
          <w:rFonts w:ascii="Titillium" w:hAnsi="Titillium" w:cs="Titillium Web"/>
          <w:b/>
          <w:bCs/>
          <w:sz w:val="20"/>
          <w:szCs w:val="20"/>
          <w:u w:val="single"/>
        </w:rPr>
      </w:pPr>
      <w:r>
        <w:rPr>
          <w:rFonts w:ascii="Titillium" w:hAnsi="Titillium" w:cs="Titillium Web"/>
          <w:b/>
          <w:bCs/>
          <w:sz w:val="20"/>
          <w:szCs w:val="20"/>
          <w:u w:val="single"/>
        </w:rPr>
        <w:t xml:space="preserve">Sezione valida per gli incarichi di Dirigente esterno e interno </w:t>
      </w:r>
    </w:p>
    <w:p w14:paraId="2ED7E278" w14:textId="77777777" w:rsidR="00686A84" w:rsidRPr="00CE4FDF" w:rsidRDefault="00686A84" w:rsidP="00686A84">
      <w:pPr>
        <w:pStyle w:val="Paragrafoelenco"/>
        <w:tabs>
          <w:tab w:val="left" w:pos="142"/>
        </w:tabs>
        <w:spacing w:line="360" w:lineRule="auto"/>
        <w:ind w:left="360"/>
        <w:jc w:val="both"/>
        <w:rPr>
          <w:rFonts w:ascii="Titillium" w:hAnsi="Titillium" w:cs="Titillium Web"/>
          <w:b/>
          <w:bCs/>
          <w:sz w:val="12"/>
          <w:szCs w:val="12"/>
          <w:u w:val="single"/>
        </w:rPr>
      </w:pPr>
    </w:p>
    <w:p w14:paraId="08CF8437" w14:textId="4811C629" w:rsidR="00686A84" w:rsidRPr="00DB0AC8" w:rsidRDefault="00686A84" w:rsidP="00686A84">
      <w:pPr>
        <w:pStyle w:val="Paragrafoelenco"/>
        <w:numPr>
          <w:ilvl w:val="1"/>
          <w:numId w:val="39"/>
        </w:numPr>
        <w:tabs>
          <w:tab w:val="left" w:pos="142"/>
        </w:tabs>
        <w:spacing w:line="360" w:lineRule="auto"/>
        <w:jc w:val="both"/>
        <w:rPr>
          <w:rFonts w:ascii="Titillium" w:hAnsi="Titillium" w:cs="Titillium Web"/>
          <w:b/>
          <w:bCs/>
          <w:i/>
          <w:iCs/>
          <w:sz w:val="20"/>
          <w:szCs w:val="20"/>
        </w:rPr>
      </w:pPr>
      <w:r>
        <w:rPr>
          <w:rFonts w:ascii="Titillium" w:hAnsi="Titillium" w:cs="Titillium Web"/>
          <w:b/>
          <w:bCs/>
          <w:i/>
          <w:iCs/>
          <w:sz w:val="20"/>
          <w:szCs w:val="20"/>
        </w:rPr>
        <w:t>Incompatibilit</w:t>
      </w:r>
      <w:r>
        <w:rPr>
          <w:rFonts w:ascii="Titillium" w:hAnsi="Titillium" w:cs="Titillium"/>
          <w:b/>
          <w:bCs/>
          <w:i/>
          <w:iCs/>
          <w:sz w:val="20"/>
          <w:szCs w:val="20"/>
        </w:rPr>
        <w:t>à</w:t>
      </w:r>
      <w:r>
        <w:rPr>
          <w:rFonts w:ascii="Titillium" w:hAnsi="Titillium" w:cs="Titillium Web"/>
          <w:b/>
          <w:bCs/>
          <w:i/>
          <w:iCs/>
          <w:sz w:val="20"/>
          <w:szCs w:val="20"/>
        </w:rPr>
        <w:t xml:space="preserve"> con lo svolgimento di</w:t>
      </w:r>
      <w:r>
        <w:rPr>
          <w:rFonts w:ascii="Titillium" w:hAnsi="Titillium" w:cs="Titillium Web"/>
          <w:b/>
          <w:i/>
          <w:iCs/>
          <w:sz w:val="16"/>
          <w:szCs w:val="20"/>
        </w:rPr>
        <w:t xml:space="preserve"> </w:t>
      </w:r>
      <w:r>
        <w:rPr>
          <w:rFonts w:ascii="Titillium" w:hAnsi="Titillium" w:cs="Titillium Web"/>
          <w:b/>
          <w:bCs/>
          <w:i/>
          <w:iCs/>
          <w:sz w:val="20"/>
          <w:szCs w:val="20"/>
        </w:rPr>
        <w:t>incarichi e cariche in enti di diritto privato regolati o finanziati e/o</w:t>
      </w:r>
      <w:r>
        <w:rPr>
          <w:rFonts w:ascii="Titillium" w:hAnsi="Titillium" w:cs="Titillium Web"/>
          <w:b/>
          <w:bCs/>
          <w:sz w:val="20"/>
          <w:szCs w:val="20"/>
        </w:rPr>
        <w:t xml:space="preserve"> </w:t>
      </w:r>
      <w:r>
        <w:rPr>
          <w:rFonts w:ascii="Titillium" w:hAnsi="Titillium" w:cs="Titillium Web"/>
          <w:b/>
          <w:bCs/>
          <w:i/>
          <w:iCs/>
          <w:sz w:val="20"/>
          <w:szCs w:val="20"/>
        </w:rPr>
        <w:t>con lo svolgimento di attivit</w:t>
      </w:r>
      <w:r>
        <w:rPr>
          <w:rFonts w:ascii="Titillium" w:hAnsi="Titillium" w:cs="Titillium"/>
          <w:b/>
          <w:bCs/>
          <w:i/>
          <w:iCs/>
          <w:sz w:val="20"/>
          <w:szCs w:val="20"/>
        </w:rPr>
        <w:t>à</w:t>
      </w:r>
      <w:r>
        <w:rPr>
          <w:rFonts w:ascii="Titillium" w:hAnsi="Titillium" w:cs="Titillium Web"/>
          <w:b/>
          <w:bCs/>
          <w:i/>
          <w:iCs/>
          <w:sz w:val="20"/>
          <w:szCs w:val="20"/>
        </w:rPr>
        <w:t xml:space="preserve"> professionali</w:t>
      </w:r>
    </w:p>
    <w:p w14:paraId="273C78A7" w14:textId="4FE5342C" w:rsidR="00686A84" w:rsidRDefault="00686A84" w:rsidP="00686A84">
      <w:pPr>
        <w:pStyle w:val="Paragrafoelenco"/>
        <w:tabs>
          <w:tab w:val="left" w:pos="142"/>
        </w:tabs>
        <w:spacing w:line="360" w:lineRule="auto"/>
        <w:ind w:left="709"/>
        <w:jc w:val="both"/>
        <w:rPr>
          <w:rFonts w:ascii="Titillium" w:hAnsi="Titillium"/>
          <w:sz w:val="20"/>
        </w:rPr>
      </w:pPr>
      <w:r>
        <w:rPr>
          <w:rFonts w:ascii="Titillium" w:hAnsi="Titillium"/>
          <w:noProof/>
          <w:lang w:eastAsia="it-IT"/>
        </w:rPr>
        <mc:AlternateContent>
          <mc:Choice Requires="wps">
            <w:drawing>
              <wp:anchor distT="0" distB="0" distL="114300" distR="114300" simplePos="0" relativeHeight="251715584" behindDoc="0" locked="0" layoutInCell="1" allowOverlap="1" wp14:anchorId="2A5B1A3C" wp14:editId="1E5CFF31">
                <wp:simplePos x="0" y="0"/>
                <wp:positionH relativeFrom="column">
                  <wp:posOffset>219075</wp:posOffset>
                </wp:positionH>
                <wp:positionV relativeFrom="paragraph">
                  <wp:posOffset>37465</wp:posOffset>
                </wp:positionV>
                <wp:extent cx="92075" cy="101600"/>
                <wp:effectExtent l="0" t="0" r="22225" b="12700"/>
                <wp:wrapNone/>
                <wp:docPr id="743056001" name="Rettangolo 743056001"/>
                <wp:cNvGraphicFramePr/>
                <a:graphic xmlns:a="http://schemas.openxmlformats.org/drawingml/2006/main">
                  <a:graphicData uri="http://schemas.microsoft.com/office/word/2010/wordprocessingShape">
                    <wps:wsp>
                      <wps:cNvSpPr/>
                      <wps:spPr>
                        <a:xfrm>
                          <a:off x="0" y="0"/>
                          <a:ext cx="92075" cy="1016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F930B" id="Rettangolo 743056001" o:spid="_x0000_s1026" style="position:absolute;margin-left:17.25pt;margin-top:2.95pt;width:7.25pt;height: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" fillcolor="white [3212]" strokecolor="#243f60 [1604]" strokeweight="2pt"/>
            </w:pict>
          </mc:Fallback>
        </mc:AlternateContent>
      </w:r>
      <w:r>
        <w:rPr>
          <w:rFonts w:ascii="Titillium" w:hAnsi="Titillium"/>
          <w:sz w:val="20"/>
        </w:rPr>
        <w:t xml:space="preserve">Insussistenza ipotesi art. 9, comma 1 e 2 </w:t>
      </w:r>
      <w:r>
        <w:rPr>
          <w:rStyle w:val="Rimandonotaapidipagina"/>
          <w:rFonts w:ascii="Titillium" w:hAnsi="Titillium"/>
          <w:sz w:val="20"/>
        </w:rPr>
        <w:footnoteReference w:id="7"/>
      </w:r>
      <w:r>
        <w:rPr>
          <w:rFonts w:ascii="Titillium" w:hAnsi="Titillium"/>
          <w:sz w:val="20"/>
        </w:rPr>
        <w:t xml:space="preserve">  ,</w:t>
      </w:r>
      <w:r>
        <w:rPr>
          <w:rStyle w:val="Rimandonotaapidipagina"/>
          <w:rFonts w:ascii="Titillium" w:hAnsi="Titillium"/>
          <w:sz w:val="20"/>
        </w:rPr>
        <w:t xml:space="preserve"> </w:t>
      </w:r>
      <w:r>
        <w:rPr>
          <w:rFonts w:ascii="Titillium" w:hAnsi="Titillium"/>
          <w:sz w:val="20"/>
        </w:rPr>
        <w:t>del d.lgs. n. 39/2013;</w:t>
      </w:r>
    </w:p>
    <w:p w14:paraId="0FB99B37" w14:textId="77777777" w:rsidR="00FA0C50" w:rsidRDefault="00FA0C50" w:rsidP="00686A84">
      <w:pPr>
        <w:pStyle w:val="Paragrafoelenco"/>
        <w:tabs>
          <w:tab w:val="left" w:pos="142"/>
        </w:tabs>
        <w:spacing w:line="360" w:lineRule="auto"/>
        <w:ind w:left="709"/>
        <w:jc w:val="both"/>
        <w:rPr>
          <w:rFonts w:ascii="Titillium" w:hAnsi="Titillium"/>
          <w:sz w:val="20"/>
        </w:rPr>
      </w:pPr>
    </w:p>
    <w:p w14:paraId="303FF19B" w14:textId="77777777" w:rsidR="00896CD8" w:rsidRPr="00CE4FDF" w:rsidRDefault="00896CD8" w:rsidP="002D61F7">
      <w:pPr>
        <w:pStyle w:val="Paragrafoelenco"/>
        <w:ind w:left="709"/>
        <w:contextualSpacing w:val="0"/>
        <w:jc w:val="both"/>
        <w:rPr>
          <w:rFonts w:ascii="Titillium" w:hAnsi="Titillium"/>
          <w:sz w:val="12"/>
          <w:szCs w:val="14"/>
        </w:rPr>
      </w:pPr>
    </w:p>
    <w:p w14:paraId="2BCDD1DB" w14:textId="76E85735" w:rsidR="00095A1A" w:rsidRPr="00290301" w:rsidRDefault="006A61AA" w:rsidP="00184463">
      <w:pPr>
        <w:tabs>
          <w:tab w:val="left" w:pos="0"/>
          <w:tab w:val="left" w:pos="142"/>
        </w:tabs>
        <w:spacing w:line="360" w:lineRule="auto"/>
        <w:jc w:val="center"/>
        <w:rPr>
          <w:rFonts w:ascii="Titillium" w:hAnsi="Titillium" w:cs="Titillium Web"/>
          <w:b/>
          <w:bCs/>
          <w:sz w:val="20"/>
          <w:szCs w:val="20"/>
        </w:rPr>
      </w:pPr>
      <w:r>
        <w:rPr>
          <w:rFonts w:ascii="Titillium" w:hAnsi="Titillium" w:cs="Titillium Web"/>
          <w:b/>
          <w:bCs/>
          <w:sz w:val="20"/>
          <w:szCs w:val="20"/>
        </w:rPr>
        <w:t>DICHIARA ALTRESI’</w:t>
      </w:r>
    </w:p>
    <w:p w14:paraId="11F87D80" w14:textId="2B7554D6" w:rsidR="00A43279" w:rsidRPr="006E1AC5" w:rsidRDefault="00A43279" w:rsidP="00A43279">
      <w:pPr>
        <w:jc w:val="both"/>
        <w:rPr>
          <w:rFonts w:ascii="Titillium" w:hAnsi="Titillium"/>
          <w:sz w:val="20"/>
          <w:szCs w:val="20"/>
        </w:rPr>
      </w:pPr>
      <w:r>
        <w:rPr>
          <w:rFonts w:ascii="Titillium" w:hAnsi="Titillium"/>
          <w:sz w:val="20"/>
          <w:szCs w:val="20"/>
        </w:rPr>
        <w:t xml:space="preserve">di essere informato che, ai sensi di quanto disposto dall’art. 20, comma 3, del D.lgs. n. 39/2013, la presente dichiarazione verrà pubblicata sul sito istituzionale dell’ente, nell’apposita sezione “Amministrazione Trasparente” </w:t>
      </w:r>
      <w:r>
        <w:rPr>
          <w:rStyle w:val="Rimandonotaapidipagina"/>
          <w:rFonts w:ascii="Titillium" w:hAnsi="Titillium"/>
          <w:sz w:val="20"/>
          <w:szCs w:val="20"/>
        </w:rPr>
        <w:footnoteReference w:id="13"/>
      </w:r>
      <w:r>
        <w:rPr>
          <w:rFonts w:ascii="Titillium" w:hAnsi="Titillium"/>
          <w:sz w:val="20"/>
          <w:szCs w:val="20"/>
        </w:rPr>
        <w:t>.</w:t>
      </w:r>
    </w:p>
    <w:p w14:paraId="2B256CCD" w14:textId="67CF4186" w:rsidR="00BD6D9B" w:rsidRPr="00020A51" w:rsidRDefault="005A4984" w:rsidP="00020A51">
      <w:pPr>
        <w:jc w:val="both"/>
        <w:rPr>
          <w:rFonts w:ascii="Titillium" w:hAnsi="Titillium"/>
          <w:sz w:val="20"/>
          <w:szCs w:val="20"/>
        </w:rPr>
      </w:pPr>
      <w:bookmarkStart w:id="3" w:name="_Hlk200102237"/>
      <w:r>
        <w:rPr>
          <w:rFonts w:ascii="Titillium" w:hAnsi="Titillium"/>
          <w:sz w:val="20"/>
          <w:szCs w:val="20"/>
        </w:rPr>
        <w:t>Il sottoscritto si impegna altresì a comunicare tempestivamente eventuali variazioni del contenuto della presente dichiarazione ed è a conoscenza che l’ente ricevente la presente dichiarazione è tenuto a effettuare i controlli e gli accertamenti previsti dalla disciplina vigente in ordine alla relativa veridicità, anche tramite acquisizione di informazioni sulle iscrizioni esistenti nel casellario giudiziale.</w:t>
      </w:r>
      <w:bookmarkEnd w:id="3"/>
    </w:p>
    <w:p w14:paraId="55CBBE80" w14:textId="20A360F2" w:rsidR="00C0653D" w:rsidRPr="006E1AC5" w:rsidRDefault="0015463B" w:rsidP="00C0653D">
      <w:pPr>
        <w:keepNext/>
        <w:spacing w:line="360" w:lineRule="auto"/>
        <w:jc w:val="both"/>
        <w:rPr>
          <w:rFonts w:ascii="Titillium" w:hAnsi="Titillium" w:cs="Titillium Web"/>
          <w:sz w:val="20"/>
          <w:szCs w:val="20"/>
        </w:rPr>
      </w:pPr>
      <w:r>
        <w:rPr>
          <w:rFonts w:ascii="Titillium" w:hAnsi="Titillium" w:cs="Titillium Web"/>
          <w:sz w:val="20"/>
          <w:szCs w:val="20"/>
        </w:rPr>
        <w:t>Busto Arsizio, ____________________</w:t>
      </w:r>
    </w:p>
    <w:p>
      <w:pPr>
        <w:keepNext/>
        <w:spacing w:line="360" w:lineRule="auto"/>
        <w:jc w:val="right"/>
        <w:rPr>
          <w:rFonts w:ascii="Titillium" w:hAnsi="Titillium" w:cs="Titillium Web"/>
          <w:sz w:val="20"/>
          <w:szCs w:val="20"/>
        </w:rPr>
      </w:pPr>
      <w:r>
        <w:rPr>
          <w:rFonts w:ascii="Titillium" w:hAnsi="Titillium" w:cs="Titillium Web"/>
          <w:sz w:val="20"/>
          <w:szCs w:val="20"/>
        </w:rPr>
        <w:t>Il dichiarante</w:t>
      </w:r>
    </w:p>
    <w:p>
      <w:pPr>
        <w:spacing w:line="360" w:lineRule="auto"/>
        <w:jc w:val="right"/>
        <w:rPr>
          <w:rFonts w:ascii="Titillium" w:hAnsi="Titillium" w:cs="Titillium Web"/>
          <w:sz w:val="20"/>
          <w:szCs w:val="20"/>
        </w:rPr>
      </w:pPr>
      <w:r>
        <w:rPr>
          <w:rFonts w:ascii="Titillium" w:hAnsi="Titillium" w:cs="Titillium Web"/>
          <w:sz w:val="20"/>
          <w:szCs w:val="20"/>
        </w:rPr>
        <w:t>Federico Rizzo</w:t>
      </w:r>
    </w:p>
    <w:p w14:paraId="4F348FFA" w14:textId="77777777" w:rsidR="00020A51" w:rsidRPr="00020A51" w:rsidRDefault="00020A51" w:rsidP="00020A51">
      <w:pPr>
        <w:spacing w:line="360" w:lineRule="auto"/>
        <w:jc w:val="both"/>
        <w:rPr>
          <w:rFonts w:ascii="Titillium" w:hAnsi="Titillium" w:cs="Titillium Web"/>
          <w:sz w:val="20"/>
          <w:szCs w:val="20"/>
        </w:rPr>
      </w:pPr>
    </w:p>
    <w:p w14:paraId="5060A861" w14:textId="2E84508C" w:rsidR="008F1B31" w:rsidRDefault="00020A51" w:rsidP="00020A51">
      <w:pPr>
        <w:spacing w:line="360" w:lineRule="auto"/>
        <w:jc w:val="both"/>
        <w:rPr>
          <w:rFonts w:ascii="Titillium" w:hAnsi="Titillium" w:cs="Titillium Web"/>
          <w:sz w:val="20"/>
          <w:szCs w:val="20"/>
        </w:rPr>
      </w:pPr>
      <w:r>
        <w:rPr>
          <w:rFonts w:ascii="Titillium" w:hAnsi="Titillium" w:cs="Titillium Web"/>
          <w:sz w:val="20"/>
          <w:szCs w:val="20"/>
        </w:rPr>
        <w:t>La versione originale del documento è depositata presso l’Ufficio di segreteria dell’Istituto Comprensivo «E. De Amicis» di Busto Arsizio.</w:t>
      </w:r>
    </w:p>
    <w:p w14:paraId="1AC14EB8" w14:textId="77777777" w:rsidR="005A4984" w:rsidRPr="00FB6C70" w:rsidRDefault="005A4984" w:rsidP="00C0653D">
      <w:pPr>
        <w:spacing w:line="360" w:lineRule="auto"/>
        <w:ind w:left="7080" w:firstLine="708"/>
        <w:jc w:val="both"/>
        <w:rPr>
          <w:rFonts w:ascii="Titillium" w:hAnsi="Titillium" w:cs="Titillium Web"/>
          <w:strike/>
          <w:sz w:val="20"/>
          <w:szCs w:val="20"/>
        </w:rPr>
      </w:pPr>
    </w:p>
    <w:sectPr w:rsidR="005A4984" w:rsidRPr="00FB6C70" w:rsidSect="00B4300C">
      <w:headerReference w:type="default" r:id="rId8"/>
      <w:footerReference w:type="default" r:id="rId9"/>
      <w:pgSz w:w="11906" w:h="16838"/>
      <w:pgMar w:top="851"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9E757" w14:textId="77777777" w:rsidR="00D04068" w:rsidRDefault="00D04068" w:rsidP="001A58E6">
      <w:pPr>
        <w:spacing w:after="0" w:line="240" w:lineRule="auto"/>
      </w:pPr>
      <w:r>
        <w:separator/>
      </w:r>
    </w:p>
  </w:endnote>
  <w:endnote w:type="continuationSeparator" w:id="0">
    <w:p w14:paraId="1C439915" w14:textId="77777777" w:rsidR="00D04068" w:rsidRDefault="00D04068" w:rsidP="001A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Liberation Mono"/>
    <w:panose1 w:val="00000500000000000000"/>
    <w:charset w:val="00"/>
    <w:family w:val="modern"/>
    <w:notTrueType/>
    <w:pitch w:val="variable"/>
    <w:sig w:usb0="00000007" w:usb1="00000001" w:usb2="00000000" w:usb3="00000000" w:csb0="00000093" w:csb1="00000000"/>
  </w:font>
  <w:font w:name="Titillium Web">
    <w:altName w:val="Times New Roman"/>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8501" w14:textId="77777777" w:rsidR="008E2D69" w:rsidRDefault="008E2D69" w:rsidP="00C0653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7688" w14:textId="77777777" w:rsidR="00D04068" w:rsidRDefault="00D04068" w:rsidP="001A58E6">
      <w:pPr>
        <w:spacing w:after="0" w:line="240" w:lineRule="auto"/>
      </w:pPr>
      <w:r>
        <w:separator/>
      </w:r>
    </w:p>
  </w:footnote>
  <w:footnote w:type="continuationSeparator" w:id="0">
    <w:p w14:paraId="7866715D" w14:textId="77777777" w:rsidR="00D04068" w:rsidRDefault="00D04068" w:rsidP="001A58E6">
      <w:pPr>
        <w:spacing w:after="0" w:line="240" w:lineRule="auto"/>
      </w:pPr>
      <w:r>
        <w:continuationSeparator/>
      </w:r>
    </w:p>
  </w:footnote>
  <w:footnote w:id="1">
    <w:p w14:paraId="3B6CADF3" w14:textId="6FD2E99F" w:rsidR="0096028D" w:rsidRDefault="0096028D" w:rsidP="00CE4FDF">
      <w:pPr>
        <w:pStyle w:val="Testonotaapidipagina"/>
        <w:ind w:left="284"/>
        <w:jc w:val="both"/>
        <w:rPr>
          <w:i/>
          <w:sz w:val="16"/>
        </w:rPr>
      </w:pPr>
      <w:r>
        <w:rPr>
          <w:rStyle w:val="Rimandonotaapidipagina"/>
        </w:rPr>
        <w:footnoteRef/>
      </w:r>
      <w:r>
        <w:t xml:space="preserve"> </w:t>
      </w:r>
      <w:r>
        <w:rPr>
          <w:b/>
          <w:sz w:val="16"/>
        </w:rPr>
        <w:t>Art. 1, comma 2</w:t>
      </w:r>
      <w:r w:rsidR="00290301">
        <w:rPr>
          <w:b/>
          <w:sz w:val="16"/>
        </w:rPr>
        <w:t>:</w:t>
      </w:r>
      <w:r>
        <w:rPr>
          <w:b/>
          <w:sz w:val="16"/>
        </w:rPr>
        <w:t xml:space="preserve"> </w:t>
      </w:r>
      <w:r>
        <w:rPr>
          <w:i/>
          <w:sz w:val="16"/>
        </w:rPr>
        <w:t>“Ai fini del presente decreto si intende</w:t>
      </w:r>
      <w:r w:rsidR="00CE4FDF">
        <w:rPr>
          <w:i/>
          <w:sz w:val="16"/>
        </w:rPr>
        <w:t>:</w:t>
      </w:r>
      <w:r>
        <w:rPr>
          <w:i/>
          <w:sz w:val="16"/>
        </w:rPr>
        <w:t xml:space="preserve"> a) per «</w:t>
      </w:r>
      <w:r>
        <w:rPr>
          <w:b/>
          <w:i/>
          <w:sz w:val="16"/>
        </w:rPr>
        <w:t>pubbliche amministrazioni</w:t>
      </w:r>
      <w:r>
        <w:rPr>
          <w:i/>
          <w:sz w:val="16"/>
        </w:rPr>
        <w:t>», le pubbliche amministrazioni di cui all'</w:t>
      </w:r>
      <w:hyperlink r:id="rId1" w:history="1">
        <w:r w:rsidRPr="00686A84">
          <w:rPr>
            <w:rStyle w:val="Collegamentoipertestuale"/>
            <w:i/>
            <w:color w:val="auto"/>
            <w:sz w:val="16"/>
            <w:u w:val="none"/>
          </w:rPr>
          <w:t>articolo 1, comma 2, del decreto legislativo 30 marzo 2001, n. 165</w:t>
        </w:r>
      </w:hyperlink>
      <w:r w:rsidRPr="00686A84">
        <w:rPr>
          <w:i/>
          <w:sz w:val="16"/>
        </w:rPr>
        <w:t>,</w:t>
      </w:r>
      <w:r>
        <w:rPr>
          <w:i/>
          <w:sz w:val="16"/>
        </w:rPr>
        <w:t xml:space="preserve"> ivi comprese le autorità amministrative indipendenti</w:t>
      </w:r>
      <w:r w:rsidR="00CE4FDF">
        <w:rPr>
          <w:i/>
          <w:sz w:val="16"/>
        </w:rPr>
        <w:t>.</w:t>
      </w:r>
      <w:r>
        <w:rPr>
          <w:i/>
          <w:sz w:val="16"/>
        </w:rPr>
        <w:t>”</w:t>
      </w:r>
      <w:r w:rsidR="00CE4FDF">
        <w:rPr>
          <w:i/>
          <w:sz w:val="16"/>
        </w:rPr>
        <w:t>;</w:t>
      </w:r>
    </w:p>
    <w:p w14:paraId="535A0BE2" w14:textId="77777777" w:rsidR="0096028D" w:rsidRDefault="0096028D" w:rsidP="0096028D">
      <w:pPr>
        <w:pStyle w:val="Testonotaapidipagina"/>
      </w:pPr>
    </w:p>
  </w:footnote>
  <w:footnote w:id="2">
    <w:p w14:paraId="24F46C9F" w14:textId="48433052" w:rsidR="009D6727" w:rsidRPr="007B50E1" w:rsidRDefault="009D6727" w:rsidP="009D6727">
      <w:pPr>
        <w:pStyle w:val="Testonotaapidipagina"/>
        <w:ind w:left="284"/>
        <w:jc w:val="both"/>
        <w:rPr>
          <w:i/>
          <w:sz w:val="16"/>
        </w:rPr>
      </w:pPr>
      <w:r>
        <w:rPr>
          <w:rStyle w:val="Rimandonotaapidipagina"/>
        </w:rPr>
        <w:footnoteRef/>
      </w:r>
      <w:r>
        <w:t xml:space="preserve"> </w:t>
      </w:r>
      <w:r>
        <w:rPr>
          <w:b/>
          <w:sz w:val="16"/>
        </w:rPr>
        <w:t>Art. 20, comma 2</w:t>
      </w:r>
      <w:r w:rsidR="00290301">
        <w:rPr>
          <w:b/>
          <w:sz w:val="16"/>
        </w:rPr>
        <w:t>:</w:t>
      </w:r>
      <w:r>
        <w:rPr>
          <w:b/>
          <w:sz w:val="16"/>
        </w:rPr>
        <w:t xml:space="preserve"> </w:t>
      </w:r>
      <w:r>
        <w:rPr>
          <w:sz w:val="16"/>
        </w:rPr>
        <w:t>“</w:t>
      </w:r>
      <w:r>
        <w:rPr>
          <w:i/>
          <w:sz w:val="16"/>
        </w:rPr>
        <w:t>Nel corso dell’incarico l’interessato presenta annualmente una dichiarazione sulla insussistenza di una delle cause di incompatibilità di cui al presente decreto</w:t>
      </w:r>
      <w:r w:rsidR="00DB0AC8">
        <w:rPr>
          <w:i/>
          <w:sz w:val="16"/>
        </w:rPr>
        <w:t>.”;</w:t>
      </w:r>
    </w:p>
    <w:p w14:paraId="4FF7E75A" w14:textId="77777777" w:rsidR="009D6727" w:rsidRPr="007B50E1" w:rsidRDefault="009D6727" w:rsidP="009D6727">
      <w:pPr>
        <w:pStyle w:val="Testonotaapidipagina"/>
        <w:ind w:left="644"/>
        <w:jc w:val="both"/>
        <w:rPr>
          <w:i/>
          <w:sz w:val="16"/>
        </w:rPr>
      </w:pPr>
    </w:p>
  </w:footnote>
  <w:footnote w:id="7">
    <w:p w14:paraId="0C7B4D0C" w14:textId="58BA15DA" w:rsidR="00CE4FDF" w:rsidRDefault="00CE4FDF" w:rsidP="00CE4FDF">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Style w:val="Rimandonotaapidipagina"/>
          <w:rFonts w:ascii="Titillium" w:eastAsiaTheme="minorHAnsi" w:hAnsi="Titillium"/>
          <w:sz w:val="20"/>
        </w:rPr>
        <w:footnoteRef/>
      </w:r>
      <w:r w:rsidRPr="0075022F">
        <w:rPr>
          <w:rFonts w:ascii="Titillium" w:eastAsiaTheme="minorHAnsi" w:hAnsi="Titillium" w:cs="Titillium Web"/>
          <w:sz w:val="16"/>
          <w:szCs w:val="20"/>
          <w:lang w:eastAsia="en-US"/>
        </w:rP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9, comm</w:t>
      </w:r>
      <w:r w:rsidR="00476160">
        <w:rPr>
          <w:rFonts w:ascii="Titillium" w:eastAsiaTheme="minorHAnsi" w:hAnsi="Titillium" w:cs="Titillium Web"/>
          <w:b/>
          <w:sz w:val="16"/>
          <w:szCs w:val="20"/>
          <w:lang w:eastAsia="en-US"/>
        </w:rPr>
        <w:t>i 1 e 2</w:t>
      </w:r>
      <w:r w:rsidR="00290301">
        <w:rPr>
          <w:rFonts w:ascii="Titillium" w:eastAsiaTheme="minorHAnsi" w:hAnsi="Titillium" w:cs="Titillium Web"/>
          <w:b/>
          <w:sz w:val="16"/>
          <w:szCs w:val="20"/>
          <w:lang w:eastAsia="en-US"/>
        </w:rPr>
        <w:t>:</w:t>
      </w:r>
      <w:r w:rsidRPr="00337A8F">
        <w:rPr>
          <w:rFonts w:ascii="Titillium" w:eastAsiaTheme="minorHAnsi" w:hAnsi="Titillium" w:cs="Titillium Web"/>
          <w:i/>
          <w:sz w:val="16"/>
          <w:szCs w:val="20"/>
          <w:lang w:eastAsia="en-US"/>
        </w:rPr>
        <w:t>“</w:t>
      </w:r>
      <w:r w:rsidRPr="00100E46">
        <w:rPr>
          <w:rFonts w:ascii="Titillium" w:eastAsiaTheme="minorHAnsi" w:hAnsi="Titillium" w:cs="Titillium Web"/>
          <w:i/>
          <w:sz w:val="16"/>
          <w:szCs w:val="20"/>
          <w:lang w:eastAsia="en-US"/>
        </w:rPr>
        <w:t xml:space="preserve">Gli </w:t>
      </w:r>
      <w:r w:rsidRPr="00CE4FDF">
        <w:rPr>
          <w:rFonts w:ascii="Titillium" w:eastAsiaTheme="minorHAnsi" w:hAnsi="Titillium" w:cs="Titillium Web"/>
          <w:b/>
          <w:i/>
          <w:sz w:val="16"/>
          <w:szCs w:val="20"/>
          <w:lang w:eastAsia="en-US"/>
        </w:rPr>
        <w:t>incarichi amministrativi di vertice e gli incarichi dirigenziali</w:t>
      </w:r>
      <w:r w:rsidRPr="00CE4FDF">
        <w:rPr>
          <w:rFonts w:ascii="Titillium" w:eastAsiaTheme="minorHAnsi" w:hAnsi="Titillium" w:cs="Titillium Web"/>
          <w:bCs/>
          <w:i/>
          <w:sz w:val="16"/>
          <w:szCs w:val="20"/>
          <w:lang w:eastAsia="en-US"/>
        </w:rPr>
        <w:t>, comunque denominati, nelle pubbliche amministrazioni</w:t>
      </w:r>
      <w:r w:rsidRPr="00100E46">
        <w:rPr>
          <w:rFonts w:ascii="Titillium" w:eastAsiaTheme="minorHAnsi" w:hAnsi="Titillium" w:cs="Titillium Web"/>
          <w:i/>
          <w:sz w:val="16"/>
          <w:szCs w:val="20"/>
          <w:lang w:eastAsia="en-US"/>
        </w:rPr>
        <w:t>, che comportano poteri di vigilanza o controllo sulle attività svolte dagli enti di diritto privato regolati o finanziati dall'amministrazione che conferisce l'incarico, sono incompatibili con l'assunzione e il mantenimento, nel corso dell'incarico, di incarichi e cariche in enti di diritto privato regolati o finanziati dall'amministrazione o ente pubblico che conferisce l'incarico.</w:t>
      </w:r>
      <w:r w:rsidR="00476160" w:rsidRPr="00476160">
        <w:rPr>
          <w:rFonts w:ascii="Titillium" w:eastAsiaTheme="minorHAnsi" w:hAnsi="Titillium" w:cs="Titillium Web"/>
          <w:b/>
          <w:bCs/>
          <w:i/>
          <w:sz w:val="16"/>
          <w:szCs w:val="20"/>
          <w:lang w:eastAsia="en-US"/>
        </w:rPr>
        <w:t xml:space="preserve"> </w:t>
      </w:r>
      <w:r w:rsidR="00DB0AC8">
        <w:rPr>
          <w:rFonts w:ascii="Titillium" w:eastAsiaTheme="minorHAnsi" w:hAnsi="Titillium" w:cs="Titillium Web"/>
          <w:b/>
          <w:bCs/>
          <w:i/>
          <w:sz w:val="16"/>
          <w:szCs w:val="20"/>
          <w:lang w:eastAsia="en-US"/>
        </w:rPr>
        <w:t xml:space="preserve">2. </w:t>
      </w:r>
      <w:r w:rsidR="00476160" w:rsidRPr="00854115">
        <w:rPr>
          <w:rFonts w:ascii="Titillium" w:eastAsiaTheme="minorHAnsi" w:hAnsi="Titillium" w:cs="Titillium Web"/>
          <w:b/>
          <w:bCs/>
          <w:i/>
          <w:sz w:val="16"/>
          <w:szCs w:val="20"/>
          <w:lang w:eastAsia="en-US"/>
        </w:rPr>
        <w:t>Gli incarichi amministrativi di vertice</w:t>
      </w:r>
      <w:r w:rsidR="00476160" w:rsidRPr="00337A8F">
        <w:rPr>
          <w:rFonts w:ascii="Titillium" w:eastAsiaTheme="minorHAnsi" w:hAnsi="Titillium" w:cs="Titillium Web"/>
          <w:i/>
          <w:sz w:val="16"/>
          <w:szCs w:val="20"/>
          <w:lang w:eastAsia="en-US"/>
        </w:rPr>
        <w:t xml:space="preserve"> </w:t>
      </w:r>
      <w:r w:rsidR="00476160" w:rsidRPr="00CE4FDF">
        <w:rPr>
          <w:rFonts w:ascii="Titillium" w:eastAsiaTheme="minorHAnsi" w:hAnsi="Titillium" w:cs="Titillium Web"/>
          <w:b/>
          <w:bCs/>
          <w:i/>
          <w:sz w:val="16"/>
          <w:szCs w:val="20"/>
          <w:lang w:eastAsia="en-US"/>
        </w:rPr>
        <w:t>e gli incarichi dirigenziali</w:t>
      </w:r>
      <w:r w:rsidR="00476160" w:rsidRPr="00337A8F">
        <w:rPr>
          <w:rFonts w:ascii="Titillium" w:eastAsiaTheme="minorHAnsi" w:hAnsi="Titillium" w:cs="Titillium Web"/>
          <w:i/>
          <w:sz w:val="16"/>
          <w:szCs w:val="20"/>
          <w:lang w:eastAsia="en-US"/>
        </w:rPr>
        <w:t xml:space="preserve">, comunque denominati, </w:t>
      </w:r>
      <w:r w:rsidR="00476160" w:rsidRPr="00854115">
        <w:rPr>
          <w:rFonts w:ascii="Titillium" w:eastAsiaTheme="minorHAnsi" w:hAnsi="Titillium" w:cs="Titillium Web"/>
          <w:b/>
          <w:bCs/>
          <w:i/>
          <w:sz w:val="16"/>
          <w:szCs w:val="20"/>
          <w:lang w:eastAsia="en-US"/>
        </w:rPr>
        <w:t>nelle pubbliche amministrazioni</w:t>
      </w:r>
      <w:r w:rsidR="00476160" w:rsidRPr="00337A8F">
        <w:rPr>
          <w:rFonts w:ascii="Titillium" w:eastAsiaTheme="minorHAnsi" w:hAnsi="Titillium" w:cs="Titillium Web"/>
          <w:i/>
          <w:sz w:val="16"/>
          <w:szCs w:val="20"/>
          <w:lang w:eastAsia="en-US"/>
        </w:rPr>
        <w:t xml:space="preserve">, gli incarichi di amministratore negli enti pubblici e di presidente e amministratore delegato negli </w:t>
      </w:r>
      <w:r w:rsidR="00476160" w:rsidRPr="00854115">
        <w:rPr>
          <w:rFonts w:ascii="Titillium" w:eastAsiaTheme="minorHAnsi" w:hAnsi="Titillium" w:cs="Titillium Web"/>
          <w:bCs/>
          <w:i/>
          <w:sz w:val="16"/>
          <w:szCs w:val="20"/>
          <w:lang w:eastAsia="en-US"/>
        </w:rPr>
        <w:t>enti di diritto privato in controllo pubblico sono incompatibili con lo svolgimento in proprio, da parte del soggetto incaricato, di un’attività professionale, se questa è regolata, finanziata</w:t>
      </w:r>
      <w:r w:rsidR="00476160" w:rsidRPr="00337A8F">
        <w:rPr>
          <w:rFonts w:ascii="Titillium" w:eastAsiaTheme="minorHAnsi" w:hAnsi="Titillium" w:cs="Titillium Web"/>
          <w:i/>
          <w:sz w:val="16"/>
          <w:szCs w:val="20"/>
          <w:lang w:eastAsia="en-US"/>
        </w:rPr>
        <w:t xml:space="preserve"> o comunque retribuita dall’amministrazione o ente che conferisce l’incarico</w:t>
      </w:r>
      <w:r w:rsidR="00DB0AC8">
        <w:rPr>
          <w:rFonts w:ascii="Titillium" w:eastAsiaTheme="minorHAnsi" w:hAnsi="Titillium" w:cs="Titillium Web"/>
          <w:i/>
          <w:sz w:val="16"/>
          <w:szCs w:val="20"/>
          <w:lang w:eastAsia="en-US"/>
        </w:rPr>
        <w:t>.”;</w:t>
      </w:r>
    </w:p>
    <w:p w14:paraId="71478BB7" w14:textId="77777777" w:rsidR="00CE4FDF" w:rsidRPr="00902A42" w:rsidRDefault="00CE4FDF" w:rsidP="00CE4FDF">
      <w:pPr>
        <w:pStyle w:val="Testonotaapidipagina"/>
        <w:ind w:left="709"/>
        <w:rPr>
          <w:sz w:val="18"/>
        </w:rPr>
      </w:pPr>
    </w:p>
  </w:footnote>
  <w:footnote w:id="13">
    <w:p w14:paraId="4F446730" w14:textId="313BE431" w:rsidR="009C21A5" w:rsidRPr="009C21A5" w:rsidRDefault="009C21A5" w:rsidP="009C21A5">
      <w:pPr>
        <w:pStyle w:val="Testonotaapidipagina"/>
        <w:ind w:left="284"/>
        <w:jc w:val="both"/>
        <w:rPr>
          <w:b/>
          <w:iCs/>
          <w:sz w:val="16"/>
        </w:rPr>
      </w:pPr>
      <w:r w:rsidRPr="006666EA">
        <w:rPr>
          <w:rStyle w:val="Rimandonotaapidipagina"/>
        </w:rPr>
        <w:footnoteRef/>
      </w:r>
      <w:r w:rsidRPr="006666EA">
        <w:rPr>
          <w:rStyle w:val="Rimandonotaapidipagina"/>
        </w:rPr>
        <w:t xml:space="preserve"> </w:t>
      </w:r>
      <w:r w:rsidR="006666EA" w:rsidRPr="006666EA">
        <w:rPr>
          <w:bCs/>
          <w:iCs/>
          <w:sz w:val="16"/>
        </w:rPr>
        <w:t>A</w:t>
      </w:r>
      <w:r w:rsidRPr="006666EA">
        <w:rPr>
          <w:bCs/>
          <w:iCs/>
          <w:sz w:val="16"/>
        </w:rPr>
        <w:t xml:space="preserve">i sensi </w:t>
      </w:r>
      <w:r w:rsidRPr="006666EA">
        <w:rPr>
          <w:b/>
          <w:iCs/>
          <w:sz w:val="16"/>
        </w:rPr>
        <w:t>dell’art. 14, co, 2, del d.lgs. n. 33/2013</w:t>
      </w:r>
      <w:r w:rsidRPr="006666EA">
        <w:rPr>
          <w:bCs/>
          <w:iCs/>
          <w:sz w:val="16"/>
        </w:rPr>
        <w:t>, le pubbliche amministrazioni pubblicano i dati per i tre anni successivi dalla cessazione del mandato o dell'incarico dei soggetti</w:t>
      </w:r>
      <w:r w:rsidR="00133ED2" w:rsidRPr="006666EA">
        <w:rPr>
          <w:bCs/>
          <w:iCs/>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6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530"/>
      <w:gridCol w:w="1197"/>
    </w:tblGrid>
    <w:tr w:rsidR="008E2D69" w14:paraId="0A65E50C" w14:textId="77777777" w:rsidTr="00D20D97">
      <w:trPr>
        <w:trHeight w:val="288"/>
      </w:trPr>
      <w:tc>
        <w:tcPr>
          <w:tcW w:w="9530" w:type="dxa"/>
        </w:tcPr>
        <w:p w14:paraId="39025B51" w14:textId="4EB6C131" w:rsidR="00792F4D" w:rsidRPr="00733F51" w:rsidRDefault="00792F4D" w:rsidP="00C168AD">
          <w:pPr>
            <w:pStyle w:val="Intestazione"/>
            <w:jc w:val="both"/>
            <w:rPr>
              <w:rFonts w:asciiTheme="majorHAnsi" w:eastAsiaTheme="majorEastAsia" w:hAnsiTheme="majorHAnsi" w:cstheme="majorBidi"/>
              <w:sz w:val="32"/>
              <w:szCs w:val="32"/>
            </w:rPr>
          </w:pPr>
          <w:r>
            <w:rPr>
              <w:rFonts w:asciiTheme="majorHAnsi" w:eastAsiaTheme="majorEastAsia" w:hAnsiTheme="majorHAnsi" w:cstheme="majorBidi"/>
              <w:sz w:val="32"/>
              <w:szCs w:val="32"/>
            </w:rPr>
            <w:t>DICHIARAZIONE SULLA INSUSSISTENZA DI CAUSE DI INCOMPATIBILITA’ ex art. 20 d.lgs. n. 39/2013</w:t>
          </w:r>
        </w:p>
      </w:tc>
      <w:tc>
        <w:tcPr>
          <w:tcW w:w="1197" w:type="dxa"/>
        </w:tcPr>
        <w:p w14:paraId="2A75F5DD" w14:textId="77777777" w:rsidR="008E2D69" w:rsidRDefault="008E2D69" w:rsidP="003C3090">
          <w:pPr>
            <w:pStyle w:val="Intestazione"/>
            <w:rPr>
              <w:rFonts w:asciiTheme="majorHAnsi" w:eastAsiaTheme="majorEastAsia" w:hAnsiTheme="majorHAnsi" w:cstheme="majorBidi"/>
              <w:b/>
              <w:bCs/>
              <w:color w:val="4F81BD" w:themeColor="accent1"/>
              <w:sz w:val="36"/>
              <w:szCs w:val="36"/>
            </w:rPr>
          </w:pPr>
        </w:p>
      </w:tc>
    </w:tr>
  </w:tbl>
  <w:p w14:paraId="0210B4F6" w14:textId="77777777" w:rsidR="008E2D69" w:rsidRDefault="008E2D69" w:rsidP="00D20D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733"/>
    <w:multiLevelType w:val="hybridMultilevel"/>
    <w:tmpl w:val="2D3010CE"/>
    <w:lvl w:ilvl="0" w:tplc="069A9A1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033AD2"/>
    <w:multiLevelType w:val="hybridMultilevel"/>
    <w:tmpl w:val="6708FC3A"/>
    <w:lvl w:ilvl="0" w:tplc="067E89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A0C1E2C"/>
    <w:multiLevelType w:val="hybridMultilevel"/>
    <w:tmpl w:val="80EA0660"/>
    <w:lvl w:ilvl="0" w:tplc="B2AAB8A0">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CB4F21"/>
    <w:multiLevelType w:val="hybridMultilevel"/>
    <w:tmpl w:val="BC4EB4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CF1C40"/>
    <w:multiLevelType w:val="hybridMultilevel"/>
    <w:tmpl w:val="2D5C9274"/>
    <w:lvl w:ilvl="0" w:tplc="81949994">
      <w:start w:val="1"/>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A1032D"/>
    <w:multiLevelType w:val="multilevel"/>
    <w:tmpl w:val="0AEC817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2131D0B"/>
    <w:multiLevelType w:val="multilevel"/>
    <w:tmpl w:val="0706C5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7" w15:restartNumberingAfterBreak="0">
    <w:nsid w:val="12771B1C"/>
    <w:multiLevelType w:val="hybridMultilevel"/>
    <w:tmpl w:val="C186AA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30726AE"/>
    <w:multiLevelType w:val="hybridMultilevel"/>
    <w:tmpl w:val="283856C4"/>
    <w:lvl w:ilvl="0" w:tplc="95C8C5D8">
      <w:start w:val="14"/>
      <w:numFmt w:val="bullet"/>
      <w:lvlText w:val="-"/>
      <w:lvlJc w:val="left"/>
      <w:pPr>
        <w:ind w:left="720" w:hanging="360"/>
      </w:pPr>
      <w:rPr>
        <w:rFonts w:ascii="Titillium" w:eastAsiaTheme="minorHAnsi" w:hAnsi="Titillium" w:cs="Titillium Web" w:hint="default"/>
      </w:rPr>
    </w:lvl>
    <w:lvl w:ilvl="1" w:tplc="2814EAA2">
      <w:numFmt w:val="bullet"/>
      <w:lvlText w:val=""/>
      <w:lvlJc w:val="left"/>
      <w:pPr>
        <w:ind w:left="1440" w:hanging="360"/>
      </w:pPr>
      <w:rPr>
        <w:rFonts w:ascii="Symbol" w:eastAsiaTheme="minorHAnsi" w:hAnsi="Symbol" w:cs="Titillium Web"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8ED7509"/>
    <w:multiLevelType w:val="multilevel"/>
    <w:tmpl w:val="574A3122"/>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260D0412"/>
    <w:multiLevelType w:val="hybridMultilevel"/>
    <w:tmpl w:val="DA021768"/>
    <w:lvl w:ilvl="0" w:tplc="99EEEAF8">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1" w15:restartNumberingAfterBreak="0">
    <w:nsid w:val="27872BB3"/>
    <w:multiLevelType w:val="hybridMultilevel"/>
    <w:tmpl w:val="C3A64A2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957352D"/>
    <w:multiLevelType w:val="hybridMultilevel"/>
    <w:tmpl w:val="873A1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326086"/>
    <w:multiLevelType w:val="hybridMultilevel"/>
    <w:tmpl w:val="954635C2"/>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DE7F83"/>
    <w:multiLevelType w:val="multilevel"/>
    <w:tmpl w:val="44804D06"/>
    <w:lvl w:ilvl="0">
      <w:start w:val="3"/>
      <w:numFmt w:val="decimal"/>
      <w:lvlText w:val="%1"/>
      <w:lvlJc w:val="left"/>
      <w:pPr>
        <w:ind w:left="360" w:hanging="360"/>
      </w:pPr>
      <w:rPr>
        <w:rFonts w:cstheme="minorBidi" w:hint="default"/>
        <w:u w:val="none"/>
      </w:rPr>
    </w:lvl>
    <w:lvl w:ilvl="1">
      <w:start w:val="1"/>
      <w:numFmt w:val="decimal"/>
      <w:lvlText w:val="%1.%2"/>
      <w:lvlJc w:val="left"/>
      <w:pPr>
        <w:ind w:left="360" w:hanging="360"/>
      </w:pPr>
      <w:rPr>
        <w:rFonts w:cstheme="minorBidi" w:hint="default"/>
        <w:u w:val="none"/>
      </w:rPr>
    </w:lvl>
    <w:lvl w:ilvl="2">
      <w:start w:val="1"/>
      <w:numFmt w:val="decimal"/>
      <w:lvlText w:val="%1.%2.%3"/>
      <w:lvlJc w:val="left"/>
      <w:pPr>
        <w:ind w:left="720" w:hanging="720"/>
      </w:pPr>
      <w:rPr>
        <w:rFonts w:cstheme="minorBidi" w:hint="default"/>
        <w:u w:val="none"/>
      </w:rPr>
    </w:lvl>
    <w:lvl w:ilvl="3">
      <w:start w:val="1"/>
      <w:numFmt w:val="decimal"/>
      <w:lvlText w:val="%1.%2.%3.%4"/>
      <w:lvlJc w:val="left"/>
      <w:pPr>
        <w:ind w:left="720" w:hanging="720"/>
      </w:pPr>
      <w:rPr>
        <w:rFonts w:cstheme="minorBidi" w:hint="default"/>
        <w:u w:val="none"/>
      </w:rPr>
    </w:lvl>
    <w:lvl w:ilvl="4">
      <w:start w:val="1"/>
      <w:numFmt w:val="decimal"/>
      <w:lvlText w:val="%1.%2.%3.%4.%5"/>
      <w:lvlJc w:val="left"/>
      <w:pPr>
        <w:ind w:left="720" w:hanging="720"/>
      </w:pPr>
      <w:rPr>
        <w:rFonts w:cstheme="minorBidi" w:hint="default"/>
        <w:u w:val="none"/>
      </w:rPr>
    </w:lvl>
    <w:lvl w:ilvl="5">
      <w:start w:val="1"/>
      <w:numFmt w:val="decimal"/>
      <w:lvlText w:val="%1.%2.%3.%4.%5.%6"/>
      <w:lvlJc w:val="left"/>
      <w:pPr>
        <w:ind w:left="1080" w:hanging="1080"/>
      </w:pPr>
      <w:rPr>
        <w:rFonts w:cstheme="minorBidi" w:hint="default"/>
        <w:u w:val="none"/>
      </w:rPr>
    </w:lvl>
    <w:lvl w:ilvl="6">
      <w:start w:val="1"/>
      <w:numFmt w:val="decimal"/>
      <w:lvlText w:val="%1.%2.%3.%4.%5.%6.%7"/>
      <w:lvlJc w:val="left"/>
      <w:pPr>
        <w:ind w:left="1080" w:hanging="1080"/>
      </w:pPr>
      <w:rPr>
        <w:rFonts w:cstheme="minorBidi" w:hint="default"/>
        <w:u w:val="none"/>
      </w:rPr>
    </w:lvl>
    <w:lvl w:ilvl="7">
      <w:start w:val="1"/>
      <w:numFmt w:val="decimal"/>
      <w:lvlText w:val="%1.%2.%3.%4.%5.%6.%7.%8"/>
      <w:lvlJc w:val="left"/>
      <w:pPr>
        <w:ind w:left="1440" w:hanging="1440"/>
      </w:pPr>
      <w:rPr>
        <w:rFonts w:cstheme="minorBidi" w:hint="default"/>
        <w:u w:val="none"/>
      </w:rPr>
    </w:lvl>
    <w:lvl w:ilvl="8">
      <w:start w:val="1"/>
      <w:numFmt w:val="decimal"/>
      <w:lvlText w:val="%1.%2.%3.%4.%5.%6.%7.%8.%9"/>
      <w:lvlJc w:val="left"/>
      <w:pPr>
        <w:ind w:left="1440" w:hanging="1440"/>
      </w:pPr>
      <w:rPr>
        <w:rFonts w:cstheme="minorBidi" w:hint="default"/>
        <w:u w:val="none"/>
      </w:rPr>
    </w:lvl>
  </w:abstractNum>
  <w:abstractNum w:abstractNumId="15" w15:restartNumberingAfterBreak="0">
    <w:nsid w:val="3C320EE5"/>
    <w:multiLevelType w:val="hybridMultilevel"/>
    <w:tmpl w:val="3A66E766"/>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463D78"/>
    <w:multiLevelType w:val="hybridMultilevel"/>
    <w:tmpl w:val="206C263E"/>
    <w:lvl w:ilvl="0" w:tplc="19843C8C">
      <w:start w:val="14"/>
      <w:numFmt w:val="bullet"/>
      <w:lvlText w:val="-"/>
      <w:lvlJc w:val="left"/>
      <w:pPr>
        <w:ind w:left="1080" w:hanging="360"/>
      </w:pPr>
      <w:rPr>
        <w:rFonts w:ascii="Titillium" w:eastAsiaTheme="minorHAnsi" w:hAnsi="Titillium" w:cs="Titillium Web"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3E730388"/>
    <w:multiLevelType w:val="hybridMultilevel"/>
    <w:tmpl w:val="605C38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05368EF"/>
    <w:multiLevelType w:val="hybridMultilevel"/>
    <w:tmpl w:val="DB84CFD4"/>
    <w:lvl w:ilvl="0" w:tplc="4C7C962E">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40954BE3"/>
    <w:multiLevelType w:val="multilevel"/>
    <w:tmpl w:val="F522C360"/>
    <w:lvl w:ilvl="0">
      <w:start w:val="2"/>
      <w:numFmt w:val="decimal"/>
      <w:lvlText w:val="%1."/>
      <w:lvlJc w:val="left"/>
      <w:pPr>
        <w:ind w:left="360" w:hanging="360"/>
      </w:pPr>
      <w:rPr>
        <w:rFonts w:cstheme="minorBidi" w:hint="default"/>
        <w:u w:val="none"/>
      </w:rPr>
    </w:lvl>
    <w:lvl w:ilvl="1">
      <w:start w:val="1"/>
      <w:numFmt w:val="decimal"/>
      <w:lvlText w:val="%1.%2."/>
      <w:lvlJc w:val="left"/>
      <w:pPr>
        <w:ind w:left="360" w:hanging="360"/>
      </w:pPr>
      <w:rPr>
        <w:rFonts w:cstheme="minorBidi" w:hint="default"/>
        <w:u w:val="none"/>
      </w:rPr>
    </w:lvl>
    <w:lvl w:ilvl="2">
      <w:start w:val="1"/>
      <w:numFmt w:val="decimal"/>
      <w:lvlText w:val="%1.%2.%3."/>
      <w:lvlJc w:val="left"/>
      <w:pPr>
        <w:ind w:left="720" w:hanging="720"/>
      </w:pPr>
      <w:rPr>
        <w:rFonts w:cstheme="minorBidi" w:hint="default"/>
        <w:u w:val="none"/>
      </w:rPr>
    </w:lvl>
    <w:lvl w:ilvl="3">
      <w:start w:val="1"/>
      <w:numFmt w:val="decimal"/>
      <w:lvlText w:val="%1.%2.%3.%4."/>
      <w:lvlJc w:val="left"/>
      <w:pPr>
        <w:ind w:left="720" w:hanging="720"/>
      </w:pPr>
      <w:rPr>
        <w:rFonts w:cstheme="minorBidi" w:hint="default"/>
        <w:u w:val="none"/>
      </w:rPr>
    </w:lvl>
    <w:lvl w:ilvl="4">
      <w:start w:val="1"/>
      <w:numFmt w:val="decimal"/>
      <w:lvlText w:val="%1.%2.%3.%4.%5."/>
      <w:lvlJc w:val="left"/>
      <w:pPr>
        <w:ind w:left="1080" w:hanging="1080"/>
      </w:pPr>
      <w:rPr>
        <w:rFonts w:cstheme="minorBidi" w:hint="default"/>
        <w:u w:val="none"/>
      </w:rPr>
    </w:lvl>
    <w:lvl w:ilvl="5">
      <w:start w:val="1"/>
      <w:numFmt w:val="decimal"/>
      <w:lvlText w:val="%1.%2.%3.%4.%5.%6."/>
      <w:lvlJc w:val="left"/>
      <w:pPr>
        <w:ind w:left="1080" w:hanging="1080"/>
      </w:pPr>
      <w:rPr>
        <w:rFonts w:cstheme="minorBidi" w:hint="default"/>
        <w:u w:val="none"/>
      </w:rPr>
    </w:lvl>
    <w:lvl w:ilvl="6">
      <w:start w:val="1"/>
      <w:numFmt w:val="decimal"/>
      <w:lvlText w:val="%1.%2.%3.%4.%5.%6.%7."/>
      <w:lvlJc w:val="left"/>
      <w:pPr>
        <w:ind w:left="1440" w:hanging="1440"/>
      </w:pPr>
      <w:rPr>
        <w:rFonts w:cstheme="minorBidi" w:hint="default"/>
        <w:u w:val="none"/>
      </w:rPr>
    </w:lvl>
    <w:lvl w:ilvl="7">
      <w:start w:val="1"/>
      <w:numFmt w:val="decimal"/>
      <w:lvlText w:val="%1.%2.%3.%4.%5.%6.%7.%8."/>
      <w:lvlJc w:val="left"/>
      <w:pPr>
        <w:ind w:left="1440" w:hanging="1440"/>
      </w:pPr>
      <w:rPr>
        <w:rFonts w:cstheme="minorBidi" w:hint="default"/>
        <w:u w:val="none"/>
      </w:rPr>
    </w:lvl>
    <w:lvl w:ilvl="8">
      <w:start w:val="1"/>
      <w:numFmt w:val="decimal"/>
      <w:lvlText w:val="%1.%2.%3.%4.%5.%6.%7.%8.%9."/>
      <w:lvlJc w:val="left"/>
      <w:pPr>
        <w:ind w:left="1440" w:hanging="1440"/>
      </w:pPr>
      <w:rPr>
        <w:rFonts w:cstheme="minorBidi" w:hint="default"/>
        <w:u w:val="none"/>
      </w:rPr>
    </w:lvl>
  </w:abstractNum>
  <w:abstractNum w:abstractNumId="20" w15:restartNumberingAfterBreak="0">
    <w:nsid w:val="41871B23"/>
    <w:multiLevelType w:val="hybridMultilevel"/>
    <w:tmpl w:val="739C87F8"/>
    <w:lvl w:ilvl="0" w:tplc="F9806AD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20791D"/>
    <w:multiLevelType w:val="hybridMultilevel"/>
    <w:tmpl w:val="EAF411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1E05D8"/>
    <w:multiLevelType w:val="hybridMultilevel"/>
    <w:tmpl w:val="EA962EF6"/>
    <w:lvl w:ilvl="0" w:tplc="04100019">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505E6D42"/>
    <w:multiLevelType w:val="multilevel"/>
    <w:tmpl w:val="8A56A82E"/>
    <w:lvl w:ilvl="0">
      <w:start w:val="1"/>
      <w:numFmt w:val="decimal"/>
      <w:lvlText w:val="%1."/>
      <w:lvlJc w:val="left"/>
      <w:pPr>
        <w:ind w:left="360" w:hanging="360"/>
      </w:pPr>
      <w:rPr>
        <w:rFonts w:hint="default"/>
        <w:b/>
        <w:bCs/>
        <w:sz w:val="24"/>
        <w:szCs w:val="24"/>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57A7361"/>
    <w:multiLevelType w:val="hybridMultilevel"/>
    <w:tmpl w:val="C80E40C0"/>
    <w:lvl w:ilvl="0" w:tplc="7430F410">
      <w:start w:val="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66B0F8B"/>
    <w:multiLevelType w:val="hybridMultilevel"/>
    <w:tmpl w:val="5C8E3D92"/>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6" w15:restartNumberingAfterBreak="0">
    <w:nsid w:val="57E5290D"/>
    <w:multiLevelType w:val="hybridMultilevel"/>
    <w:tmpl w:val="0CAEB7F4"/>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9F83528"/>
    <w:multiLevelType w:val="hybridMultilevel"/>
    <w:tmpl w:val="F838F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C711E6C"/>
    <w:multiLevelType w:val="hybridMultilevel"/>
    <w:tmpl w:val="301029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CB30973"/>
    <w:multiLevelType w:val="multilevel"/>
    <w:tmpl w:val="87C2A36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63E80E38"/>
    <w:multiLevelType w:val="hybridMultilevel"/>
    <w:tmpl w:val="1CA06518"/>
    <w:lvl w:ilvl="0" w:tplc="73422A54">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6C43A08"/>
    <w:multiLevelType w:val="hybridMultilevel"/>
    <w:tmpl w:val="544C6A5C"/>
    <w:lvl w:ilvl="0" w:tplc="A4085D0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2" w15:restartNumberingAfterBreak="0">
    <w:nsid w:val="6C5E10F9"/>
    <w:multiLevelType w:val="hybridMultilevel"/>
    <w:tmpl w:val="C024BF22"/>
    <w:lvl w:ilvl="0" w:tplc="04100017">
      <w:start w:val="1"/>
      <w:numFmt w:val="lowerLetter"/>
      <w:lvlText w:val="%1)"/>
      <w:lvlJc w:val="left"/>
      <w:pPr>
        <w:ind w:left="1520" w:hanging="360"/>
      </w:pPr>
    </w:lvl>
    <w:lvl w:ilvl="1" w:tplc="04100019">
      <w:start w:val="1"/>
      <w:numFmt w:val="lowerLetter"/>
      <w:lvlText w:val="%2."/>
      <w:lvlJc w:val="left"/>
      <w:pPr>
        <w:ind w:left="2240" w:hanging="360"/>
      </w:pPr>
    </w:lvl>
    <w:lvl w:ilvl="2" w:tplc="0410001B" w:tentative="1">
      <w:start w:val="1"/>
      <w:numFmt w:val="lowerRoman"/>
      <w:lvlText w:val="%3."/>
      <w:lvlJc w:val="right"/>
      <w:pPr>
        <w:ind w:left="2960" w:hanging="180"/>
      </w:pPr>
    </w:lvl>
    <w:lvl w:ilvl="3" w:tplc="0410000F" w:tentative="1">
      <w:start w:val="1"/>
      <w:numFmt w:val="decimal"/>
      <w:lvlText w:val="%4."/>
      <w:lvlJc w:val="left"/>
      <w:pPr>
        <w:ind w:left="3680" w:hanging="360"/>
      </w:pPr>
    </w:lvl>
    <w:lvl w:ilvl="4" w:tplc="04100019" w:tentative="1">
      <w:start w:val="1"/>
      <w:numFmt w:val="lowerLetter"/>
      <w:lvlText w:val="%5."/>
      <w:lvlJc w:val="left"/>
      <w:pPr>
        <w:ind w:left="4400" w:hanging="360"/>
      </w:pPr>
    </w:lvl>
    <w:lvl w:ilvl="5" w:tplc="0410001B" w:tentative="1">
      <w:start w:val="1"/>
      <w:numFmt w:val="lowerRoman"/>
      <w:lvlText w:val="%6."/>
      <w:lvlJc w:val="right"/>
      <w:pPr>
        <w:ind w:left="5120" w:hanging="180"/>
      </w:pPr>
    </w:lvl>
    <w:lvl w:ilvl="6" w:tplc="0410000F" w:tentative="1">
      <w:start w:val="1"/>
      <w:numFmt w:val="decimal"/>
      <w:lvlText w:val="%7."/>
      <w:lvlJc w:val="left"/>
      <w:pPr>
        <w:ind w:left="5840" w:hanging="360"/>
      </w:pPr>
    </w:lvl>
    <w:lvl w:ilvl="7" w:tplc="04100019" w:tentative="1">
      <w:start w:val="1"/>
      <w:numFmt w:val="lowerLetter"/>
      <w:lvlText w:val="%8."/>
      <w:lvlJc w:val="left"/>
      <w:pPr>
        <w:ind w:left="6560" w:hanging="360"/>
      </w:pPr>
    </w:lvl>
    <w:lvl w:ilvl="8" w:tplc="0410001B" w:tentative="1">
      <w:start w:val="1"/>
      <w:numFmt w:val="lowerRoman"/>
      <w:lvlText w:val="%9."/>
      <w:lvlJc w:val="right"/>
      <w:pPr>
        <w:ind w:left="7280" w:hanging="180"/>
      </w:pPr>
    </w:lvl>
  </w:abstractNum>
  <w:abstractNum w:abstractNumId="33" w15:restartNumberingAfterBreak="0">
    <w:nsid w:val="6EE80CBB"/>
    <w:multiLevelType w:val="hybridMultilevel"/>
    <w:tmpl w:val="5CB4FB68"/>
    <w:lvl w:ilvl="0" w:tplc="0E88E89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059476D"/>
    <w:multiLevelType w:val="hybridMultilevel"/>
    <w:tmpl w:val="4F20E87C"/>
    <w:lvl w:ilvl="0" w:tplc="52226DA2">
      <w:start w:val="2"/>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0EA130B"/>
    <w:multiLevelType w:val="multilevel"/>
    <w:tmpl w:val="C79E7D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39C679A"/>
    <w:multiLevelType w:val="hybridMultilevel"/>
    <w:tmpl w:val="373085A6"/>
    <w:lvl w:ilvl="0" w:tplc="56569EC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3CC2BD7"/>
    <w:multiLevelType w:val="hybridMultilevel"/>
    <w:tmpl w:val="8FECDF56"/>
    <w:lvl w:ilvl="0" w:tplc="8A2C43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8" w15:restartNumberingAfterBreak="0">
    <w:nsid w:val="7BE71E5E"/>
    <w:multiLevelType w:val="hybridMultilevel"/>
    <w:tmpl w:val="4C608716"/>
    <w:lvl w:ilvl="0" w:tplc="23A25506">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9" w15:restartNumberingAfterBreak="0">
    <w:nsid w:val="7CF80E26"/>
    <w:multiLevelType w:val="hybridMultilevel"/>
    <w:tmpl w:val="C4E4D1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66983102">
    <w:abstractNumId w:val="12"/>
  </w:num>
  <w:num w:numId="2" w16cid:durableId="992492962">
    <w:abstractNumId w:val="36"/>
  </w:num>
  <w:num w:numId="3" w16cid:durableId="1215240778">
    <w:abstractNumId w:val="0"/>
  </w:num>
  <w:num w:numId="4" w16cid:durableId="1702172111">
    <w:abstractNumId w:val="33"/>
  </w:num>
  <w:num w:numId="5" w16cid:durableId="900792344">
    <w:abstractNumId w:val="25"/>
  </w:num>
  <w:num w:numId="6" w16cid:durableId="38289601">
    <w:abstractNumId w:val="17"/>
  </w:num>
  <w:num w:numId="7" w16cid:durableId="1088044430">
    <w:abstractNumId w:val="7"/>
  </w:num>
  <w:num w:numId="8" w16cid:durableId="993098184">
    <w:abstractNumId w:val="1"/>
  </w:num>
  <w:num w:numId="9" w16cid:durableId="967197273">
    <w:abstractNumId w:val="30"/>
  </w:num>
  <w:num w:numId="10" w16cid:durableId="60450380">
    <w:abstractNumId w:val="22"/>
  </w:num>
  <w:num w:numId="11" w16cid:durableId="402413521">
    <w:abstractNumId w:val="39"/>
  </w:num>
  <w:num w:numId="12" w16cid:durableId="1641380849">
    <w:abstractNumId w:val="4"/>
  </w:num>
  <w:num w:numId="13" w16cid:durableId="988247543">
    <w:abstractNumId w:val="34"/>
  </w:num>
  <w:num w:numId="14" w16cid:durableId="2134470879">
    <w:abstractNumId w:val="18"/>
  </w:num>
  <w:num w:numId="15" w16cid:durableId="312368618">
    <w:abstractNumId w:val="2"/>
  </w:num>
  <w:num w:numId="16" w16cid:durableId="1852648047">
    <w:abstractNumId w:val="27"/>
  </w:num>
  <w:num w:numId="17" w16cid:durableId="1854803386">
    <w:abstractNumId w:val="3"/>
  </w:num>
  <w:num w:numId="18" w16cid:durableId="2055806253">
    <w:abstractNumId w:val="28"/>
  </w:num>
  <w:num w:numId="19" w16cid:durableId="1646424319">
    <w:abstractNumId w:val="26"/>
  </w:num>
  <w:num w:numId="20" w16cid:durableId="820197680">
    <w:abstractNumId w:val="15"/>
  </w:num>
  <w:num w:numId="21" w16cid:durableId="1919362869">
    <w:abstractNumId w:val="11"/>
  </w:num>
  <w:num w:numId="22" w16cid:durableId="246037712">
    <w:abstractNumId w:val="16"/>
  </w:num>
  <w:num w:numId="23" w16cid:durableId="1990010979">
    <w:abstractNumId w:val="8"/>
  </w:num>
  <w:num w:numId="24" w16cid:durableId="1827435606">
    <w:abstractNumId w:val="32"/>
  </w:num>
  <w:num w:numId="25" w16cid:durableId="1086613640">
    <w:abstractNumId w:val="24"/>
  </w:num>
  <w:num w:numId="26" w16cid:durableId="1725248445">
    <w:abstractNumId w:val="31"/>
  </w:num>
  <w:num w:numId="27" w16cid:durableId="1820223202">
    <w:abstractNumId w:val="37"/>
  </w:num>
  <w:num w:numId="28" w16cid:durableId="1473788303">
    <w:abstractNumId w:val="13"/>
  </w:num>
  <w:num w:numId="29" w16cid:durableId="1581066089">
    <w:abstractNumId w:val="10"/>
  </w:num>
  <w:num w:numId="30" w16cid:durableId="1886984390">
    <w:abstractNumId w:val="38"/>
  </w:num>
  <w:num w:numId="31" w16cid:durableId="1129007361">
    <w:abstractNumId w:val="20"/>
  </w:num>
  <w:num w:numId="32" w16cid:durableId="1875271095">
    <w:abstractNumId w:val="21"/>
  </w:num>
  <w:num w:numId="33" w16cid:durableId="1937595967">
    <w:abstractNumId w:val="6"/>
  </w:num>
  <w:num w:numId="34" w16cid:durableId="1688171490">
    <w:abstractNumId w:val="5"/>
  </w:num>
  <w:num w:numId="35" w16cid:durableId="1109853305">
    <w:abstractNumId w:val="29"/>
  </w:num>
  <w:num w:numId="36" w16cid:durableId="2070419918">
    <w:abstractNumId w:val="19"/>
  </w:num>
  <w:num w:numId="37" w16cid:durableId="1971327991">
    <w:abstractNumId w:val="23"/>
  </w:num>
  <w:num w:numId="38" w16cid:durableId="906459050">
    <w:abstractNumId w:val="9"/>
  </w:num>
  <w:num w:numId="39" w16cid:durableId="2131896338">
    <w:abstractNumId w:val="35"/>
  </w:num>
  <w:num w:numId="40" w16cid:durableId="5880827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33"/>
    <w:rsid w:val="000159DE"/>
    <w:rsid w:val="00020A51"/>
    <w:rsid w:val="00022B39"/>
    <w:rsid w:val="00043483"/>
    <w:rsid w:val="0004658A"/>
    <w:rsid w:val="00047713"/>
    <w:rsid w:val="00060F2B"/>
    <w:rsid w:val="0006494A"/>
    <w:rsid w:val="0007024C"/>
    <w:rsid w:val="00095A1A"/>
    <w:rsid w:val="000A5B85"/>
    <w:rsid w:val="000A6AED"/>
    <w:rsid w:val="000B17D4"/>
    <w:rsid w:val="000B7A3F"/>
    <w:rsid w:val="000C2022"/>
    <w:rsid w:val="000C41ED"/>
    <w:rsid w:val="000D73C8"/>
    <w:rsid w:val="000E1E88"/>
    <w:rsid w:val="000E3DEA"/>
    <w:rsid w:val="000E5D8E"/>
    <w:rsid w:val="001077C7"/>
    <w:rsid w:val="00111623"/>
    <w:rsid w:val="00113CB0"/>
    <w:rsid w:val="0012164E"/>
    <w:rsid w:val="00133ED2"/>
    <w:rsid w:val="00140F5C"/>
    <w:rsid w:val="0015463B"/>
    <w:rsid w:val="00162B5C"/>
    <w:rsid w:val="0016404C"/>
    <w:rsid w:val="00170A70"/>
    <w:rsid w:val="00170C1F"/>
    <w:rsid w:val="00171185"/>
    <w:rsid w:val="001816E3"/>
    <w:rsid w:val="00184463"/>
    <w:rsid w:val="00185821"/>
    <w:rsid w:val="001A58E6"/>
    <w:rsid w:val="001B44B5"/>
    <w:rsid w:val="001B6EED"/>
    <w:rsid w:val="001C6033"/>
    <w:rsid w:val="001D524E"/>
    <w:rsid w:val="001D65F9"/>
    <w:rsid w:val="001E5ABB"/>
    <w:rsid w:val="001F2D14"/>
    <w:rsid w:val="001F57F5"/>
    <w:rsid w:val="001F5CF0"/>
    <w:rsid w:val="002005EF"/>
    <w:rsid w:val="00203938"/>
    <w:rsid w:val="00205FFC"/>
    <w:rsid w:val="002064E6"/>
    <w:rsid w:val="002237BB"/>
    <w:rsid w:val="0022655F"/>
    <w:rsid w:val="00232DFF"/>
    <w:rsid w:val="00245690"/>
    <w:rsid w:val="00250E40"/>
    <w:rsid w:val="002604E5"/>
    <w:rsid w:val="00264AF4"/>
    <w:rsid w:val="00271EAF"/>
    <w:rsid w:val="00277A5B"/>
    <w:rsid w:val="00290301"/>
    <w:rsid w:val="002A43B7"/>
    <w:rsid w:val="002D61F7"/>
    <w:rsid w:val="002E1DDD"/>
    <w:rsid w:val="002E2087"/>
    <w:rsid w:val="00302A7D"/>
    <w:rsid w:val="00304857"/>
    <w:rsid w:val="00306431"/>
    <w:rsid w:val="00310EC2"/>
    <w:rsid w:val="00312F99"/>
    <w:rsid w:val="003226EE"/>
    <w:rsid w:val="003250DA"/>
    <w:rsid w:val="00337A8F"/>
    <w:rsid w:val="003440FD"/>
    <w:rsid w:val="003538B6"/>
    <w:rsid w:val="00364332"/>
    <w:rsid w:val="0037164B"/>
    <w:rsid w:val="00373D77"/>
    <w:rsid w:val="00393019"/>
    <w:rsid w:val="0039706F"/>
    <w:rsid w:val="003A0156"/>
    <w:rsid w:val="003A3014"/>
    <w:rsid w:val="003C05C1"/>
    <w:rsid w:val="003C3090"/>
    <w:rsid w:val="003C31FD"/>
    <w:rsid w:val="003C7B17"/>
    <w:rsid w:val="003E1096"/>
    <w:rsid w:val="004026B4"/>
    <w:rsid w:val="004050E0"/>
    <w:rsid w:val="00413E87"/>
    <w:rsid w:val="0043650B"/>
    <w:rsid w:val="0044244F"/>
    <w:rsid w:val="00445E99"/>
    <w:rsid w:val="00451C53"/>
    <w:rsid w:val="004669FF"/>
    <w:rsid w:val="00476160"/>
    <w:rsid w:val="00490DB2"/>
    <w:rsid w:val="004A6662"/>
    <w:rsid w:val="004B064F"/>
    <w:rsid w:val="004B76F9"/>
    <w:rsid w:val="004B7FCE"/>
    <w:rsid w:val="004D06E3"/>
    <w:rsid w:val="004D184F"/>
    <w:rsid w:val="004E1C6D"/>
    <w:rsid w:val="004E708C"/>
    <w:rsid w:val="00501D92"/>
    <w:rsid w:val="0050236F"/>
    <w:rsid w:val="005159A8"/>
    <w:rsid w:val="0052056C"/>
    <w:rsid w:val="0054713A"/>
    <w:rsid w:val="00550447"/>
    <w:rsid w:val="005664E8"/>
    <w:rsid w:val="00595120"/>
    <w:rsid w:val="005A4365"/>
    <w:rsid w:val="005A4984"/>
    <w:rsid w:val="005A79DA"/>
    <w:rsid w:val="005B5DDF"/>
    <w:rsid w:val="005C0D66"/>
    <w:rsid w:val="005C29E7"/>
    <w:rsid w:val="005D375C"/>
    <w:rsid w:val="006049D5"/>
    <w:rsid w:val="00612F2F"/>
    <w:rsid w:val="0061727F"/>
    <w:rsid w:val="00640EBD"/>
    <w:rsid w:val="00662F7A"/>
    <w:rsid w:val="00663DDA"/>
    <w:rsid w:val="00665E16"/>
    <w:rsid w:val="006666EA"/>
    <w:rsid w:val="00686A84"/>
    <w:rsid w:val="00691E8A"/>
    <w:rsid w:val="006954A7"/>
    <w:rsid w:val="00696737"/>
    <w:rsid w:val="006A61AA"/>
    <w:rsid w:val="006B3767"/>
    <w:rsid w:val="006C0F11"/>
    <w:rsid w:val="006E1AC5"/>
    <w:rsid w:val="006E69E4"/>
    <w:rsid w:val="006F4F14"/>
    <w:rsid w:val="00714FCA"/>
    <w:rsid w:val="00717B29"/>
    <w:rsid w:val="00733F51"/>
    <w:rsid w:val="0075022F"/>
    <w:rsid w:val="00751E1F"/>
    <w:rsid w:val="007711C7"/>
    <w:rsid w:val="0077649D"/>
    <w:rsid w:val="00781931"/>
    <w:rsid w:val="00792F4D"/>
    <w:rsid w:val="007960A7"/>
    <w:rsid w:val="007B3511"/>
    <w:rsid w:val="007B50E1"/>
    <w:rsid w:val="007C0B65"/>
    <w:rsid w:val="007C15EB"/>
    <w:rsid w:val="007C4612"/>
    <w:rsid w:val="007D0045"/>
    <w:rsid w:val="007D1D13"/>
    <w:rsid w:val="007D5305"/>
    <w:rsid w:val="007E4FED"/>
    <w:rsid w:val="007F141F"/>
    <w:rsid w:val="00803886"/>
    <w:rsid w:val="00804EB7"/>
    <w:rsid w:val="00813049"/>
    <w:rsid w:val="00814389"/>
    <w:rsid w:val="00823823"/>
    <w:rsid w:val="008355A4"/>
    <w:rsid w:val="00847EA4"/>
    <w:rsid w:val="00850B25"/>
    <w:rsid w:val="00854115"/>
    <w:rsid w:val="00864E26"/>
    <w:rsid w:val="00893CA7"/>
    <w:rsid w:val="00896CD8"/>
    <w:rsid w:val="008B0C2C"/>
    <w:rsid w:val="008B77B1"/>
    <w:rsid w:val="008B7DD7"/>
    <w:rsid w:val="008C0443"/>
    <w:rsid w:val="008E2D69"/>
    <w:rsid w:val="008E7F91"/>
    <w:rsid w:val="008F1B31"/>
    <w:rsid w:val="0090776B"/>
    <w:rsid w:val="00910D3F"/>
    <w:rsid w:val="00924018"/>
    <w:rsid w:val="00940544"/>
    <w:rsid w:val="00940FD4"/>
    <w:rsid w:val="00941053"/>
    <w:rsid w:val="00946B56"/>
    <w:rsid w:val="0096028D"/>
    <w:rsid w:val="00986F04"/>
    <w:rsid w:val="009B17F2"/>
    <w:rsid w:val="009B6EFC"/>
    <w:rsid w:val="009C156B"/>
    <w:rsid w:val="009C21A5"/>
    <w:rsid w:val="009C7F7A"/>
    <w:rsid w:val="009D56A7"/>
    <w:rsid w:val="009D6727"/>
    <w:rsid w:val="009F373F"/>
    <w:rsid w:val="009F7E36"/>
    <w:rsid w:val="00A078B5"/>
    <w:rsid w:val="00A20C7D"/>
    <w:rsid w:val="00A24412"/>
    <w:rsid w:val="00A36896"/>
    <w:rsid w:val="00A4109D"/>
    <w:rsid w:val="00A43279"/>
    <w:rsid w:val="00A47510"/>
    <w:rsid w:val="00A61285"/>
    <w:rsid w:val="00A76C67"/>
    <w:rsid w:val="00A9078F"/>
    <w:rsid w:val="00AC70CE"/>
    <w:rsid w:val="00AD4351"/>
    <w:rsid w:val="00B04EFB"/>
    <w:rsid w:val="00B20FB4"/>
    <w:rsid w:val="00B21289"/>
    <w:rsid w:val="00B23CA0"/>
    <w:rsid w:val="00B24D34"/>
    <w:rsid w:val="00B4300C"/>
    <w:rsid w:val="00B44779"/>
    <w:rsid w:val="00B61548"/>
    <w:rsid w:val="00B67704"/>
    <w:rsid w:val="00B70A13"/>
    <w:rsid w:val="00B720F8"/>
    <w:rsid w:val="00B74043"/>
    <w:rsid w:val="00B87398"/>
    <w:rsid w:val="00B91ED9"/>
    <w:rsid w:val="00B92EC7"/>
    <w:rsid w:val="00B93CEB"/>
    <w:rsid w:val="00BA343A"/>
    <w:rsid w:val="00BC064B"/>
    <w:rsid w:val="00BC30D8"/>
    <w:rsid w:val="00BC7B6F"/>
    <w:rsid w:val="00BD6D9B"/>
    <w:rsid w:val="00BF4365"/>
    <w:rsid w:val="00C0653D"/>
    <w:rsid w:val="00C168AD"/>
    <w:rsid w:val="00C43CFE"/>
    <w:rsid w:val="00C447E4"/>
    <w:rsid w:val="00C50247"/>
    <w:rsid w:val="00C5033C"/>
    <w:rsid w:val="00C541DE"/>
    <w:rsid w:val="00C56EA0"/>
    <w:rsid w:val="00C97882"/>
    <w:rsid w:val="00CA394A"/>
    <w:rsid w:val="00CC2DB7"/>
    <w:rsid w:val="00CD124D"/>
    <w:rsid w:val="00CD5B8D"/>
    <w:rsid w:val="00CD653E"/>
    <w:rsid w:val="00CE33F1"/>
    <w:rsid w:val="00CE4F92"/>
    <w:rsid w:val="00CE4FDF"/>
    <w:rsid w:val="00D04068"/>
    <w:rsid w:val="00D147DF"/>
    <w:rsid w:val="00D15D33"/>
    <w:rsid w:val="00D20329"/>
    <w:rsid w:val="00D20BAD"/>
    <w:rsid w:val="00D20D97"/>
    <w:rsid w:val="00D2394A"/>
    <w:rsid w:val="00D3085F"/>
    <w:rsid w:val="00D33823"/>
    <w:rsid w:val="00D43F10"/>
    <w:rsid w:val="00D45027"/>
    <w:rsid w:val="00D5038D"/>
    <w:rsid w:val="00D748E0"/>
    <w:rsid w:val="00D90679"/>
    <w:rsid w:val="00D97A61"/>
    <w:rsid w:val="00DA0A94"/>
    <w:rsid w:val="00DB0AC8"/>
    <w:rsid w:val="00DB0CDA"/>
    <w:rsid w:val="00DB11CD"/>
    <w:rsid w:val="00DB4BD2"/>
    <w:rsid w:val="00DB5F57"/>
    <w:rsid w:val="00DC56E2"/>
    <w:rsid w:val="00DD1736"/>
    <w:rsid w:val="00DD7CAD"/>
    <w:rsid w:val="00DE36F2"/>
    <w:rsid w:val="00DE582B"/>
    <w:rsid w:val="00DF1859"/>
    <w:rsid w:val="00DF7E35"/>
    <w:rsid w:val="00E01451"/>
    <w:rsid w:val="00E066B1"/>
    <w:rsid w:val="00E133E5"/>
    <w:rsid w:val="00E23AB6"/>
    <w:rsid w:val="00E30C21"/>
    <w:rsid w:val="00E33728"/>
    <w:rsid w:val="00E41B99"/>
    <w:rsid w:val="00E67499"/>
    <w:rsid w:val="00EA056E"/>
    <w:rsid w:val="00EC4C9D"/>
    <w:rsid w:val="00EE1A7A"/>
    <w:rsid w:val="00EF296A"/>
    <w:rsid w:val="00EF3419"/>
    <w:rsid w:val="00F12EEA"/>
    <w:rsid w:val="00F21E74"/>
    <w:rsid w:val="00F23D7D"/>
    <w:rsid w:val="00F30FD3"/>
    <w:rsid w:val="00F3127E"/>
    <w:rsid w:val="00F435D3"/>
    <w:rsid w:val="00F45224"/>
    <w:rsid w:val="00F46AF4"/>
    <w:rsid w:val="00F950FA"/>
    <w:rsid w:val="00FA0C50"/>
    <w:rsid w:val="00FA6A2B"/>
    <w:rsid w:val="00FB6C70"/>
    <w:rsid w:val="00FD79B3"/>
    <w:rsid w:val="00FE52C8"/>
    <w:rsid w:val="00FE6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8623F"/>
  <w15:docId w15:val="{5D8E293A-D179-4F45-A855-70EE458A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60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C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6033"/>
    <w:pPr>
      <w:ind w:left="720"/>
      <w:contextualSpacing/>
    </w:pPr>
  </w:style>
  <w:style w:type="paragraph" w:styleId="Testofumetto">
    <w:name w:val="Balloon Text"/>
    <w:basedOn w:val="Normale"/>
    <w:link w:val="TestofumettoCarattere"/>
    <w:uiPriority w:val="99"/>
    <w:semiHidden/>
    <w:unhideWhenUsed/>
    <w:rsid w:val="009405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544"/>
    <w:rPr>
      <w:rFonts w:ascii="Tahoma" w:hAnsi="Tahoma" w:cs="Tahoma"/>
      <w:sz w:val="16"/>
      <w:szCs w:val="16"/>
    </w:rPr>
  </w:style>
  <w:style w:type="paragraph" w:styleId="Intestazione">
    <w:name w:val="header"/>
    <w:basedOn w:val="Normale"/>
    <w:link w:val="IntestazioneCarattere"/>
    <w:uiPriority w:val="99"/>
    <w:unhideWhenUsed/>
    <w:rsid w:val="001A58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58E6"/>
  </w:style>
  <w:style w:type="paragraph" w:styleId="Pidipagina">
    <w:name w:val="footer"/>
    <w:basedOn w:val="Normale"/>
    <w:link w:val="PidipaginaCarattere"/>
    <w:uiPriority w:val="99"/>
    <w:unhideWhenUsed/>
    <w:rsid w:val="001A58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58E6"/>
  </w:style>
  <w:style w:type="paragraph" w:styleId="Corpotesto">
    <w:name w:val="Body Text"/>
    <w:basedOn w:val="Normale"/>
    <w:link w:val="CorpotestoCarattere"/>
    <w:semiHidden/>
    <w:rsid w:val="00C56EA0"/>
    <w:pPr>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semiHidden/>
    <w:rsid w:val="00C56EA0"/>
    <w:rPr>
      <w:rFonts w:ascii="Times New Roman" w:eastAsia="Times New Roman" w:hAnsi="Times New Roman" w:cs="Times New Roman"/>
      <w:lang w:eastAsia="it-IT"/>
    </w:rPr>
  </w:style>
  <w:style w:type="table" w:customStyle="1" w:styleId="Grigliatabella1">
    <w:name w:val="Griglia tabella1"/>
    <w:basedOn w:val="Tabellanormale"/>
    <w:next w:val="Grigliatabella"/>
    <w:uiPriority w:val="59"/>
    <w:rsid w:val="00D33823"/>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15463B"/>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40" w:lineRule="auto"/>
      <w:ind w:left="1701" w:right="142"/>
    </w:pPr>
    <w:rPr>
      <w:rFonts w:ascii="Titillium" w:hAnsi="Titillium" w:cs="Titillium Web"/>
      <w:sz w:val="20"/>
      <w:szCs w:val="20"/>
    </w:rPr>
  </w:style>
  <w:style w:type="character" w:customStyle="1" w:styleId="TestonotaapidipaginaCarattere">
    <w:name w:val="Testo nota a piè di pagina Carattere"/>
    <w:basedOn w:val="Carpredefinitoparagrafo"/>
    <w:link w:val="Testonotaapidipagina"/>
    <w:uiPriority w:val="99"/>
    <w:rsid w:val="0015463B"/>
    <w:rPr>
      <w:rFonts w:ascii="Titillium" w:hAnsi="Titillium" w:cs="Titillium Web"/>
      <w:sz w:val="20"/>
      <w:szCs w:val="20"/>
    </w:rPr>
  </w:style>
  <w:style w:type="character" w:styleId="Rimandonotaapidipagina">
    <w:name w:val="footnote reference"/>
    <w:basedOn w:val="Carpredefinitoparagrafo"/>
    <w:uiPriority w:val="99"/>
    <w:semiHidden/>
    <w:unhideWhenUsed/>
    <w:rsid w:val="0015463B"/>
    <w:rPr>
      <w:vertAlign w:val="superscript"/>
    </w:rPr>
  </w:style>
  <w:style w:type="paragraph" w:styleId="NormaleWeb">
    <w:name w:val="Normal (Web)"/>
    <w:basedOn w:val="Normale"/>
    <w:uiPriority w:val="99"/>
    <w:unhideWhenUsed/>
    <w:rsid w:val="001546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A20C7D"/>
    <w:pPr>
      <w:spacing w:after="0" w:line="240" w:lineRule="auto"/>
    </w:pPr>
  </w:style>
  <w:style w:type="character" w:styleId="Collegamentoipertestuale">
    <w:name w:val="Hyperlink"/>
    <w:basedOn w:val="Carpredefinitoparagrafo"/>
    <w:uiPriority w:val="99"/>
    <w:semiHidden/>
    <w:unhideWhenUsed/>
    <w:rsid w:val="0096028D"/>
    <w:rPr>
      <w:color w:val="0000FF" w:themeColor="hyperlink"/>
      <w:u w:val="single"/>
    </w:rPr>
  </w:style>
  <w:style w:type="character" w:styleId="Rimandocommento">
    <w:name w:val="annotation reference"/>
    <w:basedOn w:val="Carpredefinitoparagrafo"/>
    <w:uiPriority w:val="99"/>
    <w:semiHidden/>
    <w:unhideWhenUsed/>
    <w:rsid w:val="006666EA"/>
    <w:rPr>
      <w:sz w:val="16"/>
      <w:szCs w:val="16"/>
    </w:rPr>
  </w:style>
  <w:style w:type="paragraph" w:styleId="Testocommento">
    <w:name w:val="annotation text"/>
    <w:basedOn w:val="Normale"/>
    <w:link w:val="TestocommentoCarattere"/>
    <w:uiPriority w:val="99"/>
    <w:unhideWhenUsed/>
    <w:rsid w:val="006666EA"/>
    <w:pPr>
      <w:spacing w:line="240" w:lineRule="auto"/>
    </w:pPr>
    <w:rPr>
      <w:sz w:val="20"/>
      <w:szCs w:val="20"/>
    </w:rPr>
  </w:style>
  <w:style w:type="character" w:customStyle="1" w:styleId="TestocommentoCarattere">
    <w:name w:val="Testo commento Carattere"/>
    <w:basedOn w:val="Carpredefinitoparagrafo"/>
    <w:link w:val="Testocommento"/>
    <w:uiPriority w:val="99"/>
    <w:rsid w:val="006666EA"/>
    <w:rPr>
      <w:sz w:val="20"/>
      <w:szCs w:val="20"/>
    </w:rPr>
  </w:style>
  <w:style w:type="paragraph" w:styleId="Soggettocommento">
    <w:name w:val="annotation subject"/>
    <w:basedOn w:val="Testocommento"/>
    <w:next w:val="Testocommento"/>
    <w:link w:val="SoggettocommentoCarattere"/>
    <w:uiPriority w:val="99"/>
    <w:semiHidden/>
    <w:unhideWhenUsed/>
    <w:rsid w:val="006666EA"/>
    <w:rPr>
      <w:b/>
      <w:bCs/>
    </w:rPr>
  </w:style>
  <w:style w:type="character" w:customStyle="1" w:styleId="SoggettocommentoCarattere">
    <w:name w:val="Soggetto commento Carattere"/>
    <w:basedOn w:val="TestocommentoCarattere"/>
    <w:link w:val="Soggettocommento"/>
    <w:uiPriority w:val="99"/>
    <w:semiHidden/>
    <w:rsid w:val="00666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1074">
      <w:bodyDiv w:val="1"/>
      <w:marLeft w:val="0"/>
      <w:marRight w:val="0"/>
      <w:marTop w:val="0"/>
      <w:marBottom w:val="0"/>
      <w:divBdr>
        <w:top w:val="none" w:sz="0" w:space="0" w:color="auto"/>
        <w:left w:val="none" w:sz="0" w:space="0" w:color="auto"/>
        <w:bottom w:val="none" w:sz="0" w:space="0" w:color="auto"/>
        <w:right w:val="none" w:sz="0" w:space="0" w:color="auto"/>
      </w:divBdr>
    </w:div>
    <w:div w:id="560210991">
      <w:bodyDiv w:val="1"/>
      <w:marLeft w:val="0"/>
      <w:marRight w:val="0"/>
      <w:marTop w:val="0"/>
      <w:marBottom w:val="0"/>
      <w:divBdr>
        <w:top w:val="none" w:sz="0" w:space="0" w:color="auto"/>
        <w:left w:val="none" w:sz="0" w:space="0" w:color="auto"/>
        <w:bottom w:val="none" w:sz="0" w:space="0" w:color="auto"/>
        <w:right w:val="none" w:sz="0" w:space="0" w:color="auto"/>
      </w:divBdr>
    </w:div>
    <w:div w:id="635992662">
      <w:bodyDiv w:val="1"/>
      <w:marLeft w:val="0"/>
      <w:marRight w:val="0"/>
      <w:marTop w:val="0"/>
      <w:marBottom w:val="0"/>
      <w:divBdr>
        <w:top w:val="none" w:sz="0" w:space="0" w:color="auto"/>
        <w:left w:val="none" w:sz="0" w:space="0" w:color="auto"/>
        <w:bottom w:val="none" w:sz="0" w:space="0" w:color="auto"/>
        <w:right w:val="none" w:sz="0" w:space="0" w:color="auto"/>
      </w:divBdr>
    </w:div>
    <w:div w:id="100547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Relationships xmlns="http://schemas.openxmlformats.org/package/2006/relationships"><Relationship Id="rId1" Type="http://schemas.openxmlformats.org/officeDocument/2006/relationships/hyperlink" Target="https://www.bosettiegatti.eu/info/norme/statali/2001_0165.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8D85A-556E-4897-BACE-6BD518F7A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4</Pages>
  <Words>534</Words>
  <Characters>3048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Personale dipendente dichiarazioni sui conflitti d’interessi</vt:lpstr>
    </vt:vector>
  </TitlesOfParts>
  <Company>Hewlett-Packard Company</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dipendente dichiarazioni sui conflitti d’interessi</dc:title>
  <dc:creator>Federico Rizzo</dc:creator>
  <cp:lastModifiedBy>Federico Rizzo</cp:lastModifiedBy>
  <cp:revision>84</cp:revision>
  <cp:lastPrinted>2023-10-19T13:09:00Z</cp:lastPrinted>
  <dcterms:created xsi:type="dcterms:W3CDTF">2023-10-10T09:41:00Z</dcterms:created>
  <dcterms:modified xsi:type="dcterms:W3CDTF">2026-03-19T09:47:00Z</dcterms:modified>
</cp:coreProperties>
</file>